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1C6" w:rsidRDefault="00B41147">
      <w:pPr>
        <w:pStyle w:val="BodyText"/>
        <w:ind w:left="117"/>
        <w:rPr>
          <w:rFonts w:ascii="Times New Roman"/>
          <w:sz w:val="20"/>
        </w:rPr>
      </w:pPr>
      <w:r>
        <w:rPr>
          <w:rFonts w:ascii="Times New Roman"/>
          <w:noProof/>
          <w:sz w:val="20"/>
          <w:lang w:val="en-US" w:eastAsia="en-US" w:bidi="ar-SA"/>
        </w:rPr>
        <w:drawing>
          <wp:inline distT="0" distB="0" distL="0" distR="0">
            <wp:extent cx="1785058" cy="79457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785058" cy="794575"/>
                    </a:xfrm>
                    <a:prstGeom prst="rect">
                      <a:avLst/>
                    </a:prstGeom>
                  </pic:spPr>
                </pic:pic>
              </a:graphicData>
            </a:graphic>
          </wp:inline>
        </w:drawing>
      </w:r>
    </w:p>
    <w:p w:rsidR="008061C6" w:rsidRDefault="008061C6">
      <w:pPr>
        <w:pStyle w:val="BodyText"/>
        <w:rPr>
          <w:rFonts w:ascii="Times New Roman"/>
          <w:sz w:val="18"/>
        </w:rPr>
      </w:pPr>
    </w:p>
    <w:p w:rsidR="008061C6" w:rsidRDefault="00B41147" w:rsidP="00156D51">
      <w:pPr>
        <w:spacing w:before="122"/>
        <w:ind w:left="1504"/>
        <w:rPr>
          <w:rFonts w:ascii="Times New Roman"/>
          <w:sz w:val="36"/>
        </w:rPr>
      </w:pPr>
      <w:r>
        <w:rPr>
          <w:rFonts w:ascii="Times New Roman"/>
          <w:w w:val="110"/>
          <w:sz w:val="36"/>
        </w:rPr>
        <w:t xml:space="preserve">The ARRIVE Guidelines </w:t>
      </w:r>
    </w:p>
    <w:p w:rsidR="008061C6" w:rsidRDefault="00B41147">
      <w:pPr>
        <w:spacing w:before="78"/>
        <w:ind w:left="1504"/>
        <w:rPr>
          <w:rFonts w:ascii="Times New Roman"/>
          <w:sz w:val="28"/>
        </w:rPr>
      </w:pPr>
      <w:r>
        <w:rPr>
          <w:rFonts w:ascii="Times New Roman"/>
          <w:w w:val="110"/>
          <w:sz w:val="28"/>
        </w:rPr>
        <w:t>Animal Research: Reporting In Vivo Experiments</w:t>
      </w:r>
    </w:p>
    <w:p w:rsidR="008061C6" w:rsidRPr="00156D51" w:rsidRDefault="00B41147" w:rsidP="00156D51">
      <w:pPr>
        <w:spacing w:before="62"/>
        <w:rPr>
          <w:sz w:val="20"/>
        </w:rPr>
      </w:pPr>
      <w:r>
        <w:pict>
          <v:group id="_x0000_s1026" style="position:absolute;margin-left:75.4pt;margin-top:134.7pt;width:496.45pt;height:18.85pt;z-index:-251658240;mso-position-horizontal-relative:page" coordorigin="1508,2694" coordsize="9929,377">
            <v:line id="_x0000_s1044" style="position:absolute" from="1559,2713" to="1559,3052" strokecolor="#921f48" strokeweight="5.16pt"/>
            <v:line id="_x0000_s1043" style="position:absolute" from="10237,2713" to="10237,3052" strokecolor="#921f48" strokeweight="4.92pt"/>
            <v:rect id="_x0000_s1042" style="position:absolute;left:1610;top:2713;width:8577;height:339" fillcolor="#921f48" stroked="f"/>
            <v:line id="_x0000_s1041" style="position:absolute" from="10354,2713" to="10354,3052" strokecolor="#921f48" strokeweight="4.92pt"/>
            <v:line id="_x0000_s1040" style="position:absolute" from="11384,2713" to="11384,3052" strokecolor="#921f48" strokeweight="5.16pt"/>
            <v:rect id="_x0000_s1039" style="position:absolute;left:10403;top:2713;width:930;height:339" fillcolor="#921f48" stroked="f"/>
            <v:line id="_x0000_s1038" style="position:absolute" from="1508,2704" to="3200,2704" strokecolor="#921f48" strokeweight=".96pt"/>
            <v:rect id="_x0000_s1037" style="position:absolute;left:3199;top:2694;width:20;height:20" fillcolor="#921f48" stroked="f"/>
            <v:line id="_x0000_s1036" style="position:absolute" from="3219,2704" to="3908,2704" strokecolor="#921f48" strokeweight=".96pt"/>
            <v:rect id="_x0000_s1035" style="position:absolute;left:3908;top:2694;width:20;height:20" fillcolor="#921f48" stroked="f"/>
            <v:line id="_x0000_s1034" style="position:absolute" from="3927,2704" to="10286,2704" strokecolor="#921f48" strokeweight=".96pt"/>
            <v:line id="_x0000_s1033" style="position:absolute" from="10305,2704" to="11436,2704" strokecolor="#921f48" strokeweight=".96pt"/>
            <v:line id="_x0000_s1032" style="position:absolute" from="1508,3061" to="3200,3061" strokecolor="#921f48" strokeweight=".96pt"/>
            <v:rect id="_x0000_s1031" style="position:absolute;left:3199;top:3051;width:20;height:20" fillcolor="#921f48" stroked="f"/>
            <v:line id="_x0000_s1030" style="position:absolute" from="3219,3061" to="3908,3061" strokecolor="#921f48" strokeweight=".96pt"/>
            <v:rect id="_x0000_s1029" style="position:absolute;left:3908;top:3051;width:20;height:20" fillcolor="#921f48" stroked="f"/>
            <v:line id="_x0000_s1028" style="position:absolute" from="3927,3061" to="10286,3061" strokecolor="#921f48" strokeweight=".96pt"/>
            <v:line id="_x0000_s1027" style="position:absolute" from="10305,3061" to="11436,3061" strokecolor="#921f48" strokeweight=".96pt"/>
            <w10:wrap anchorx="page"/>
          </v:group>
        </w:pict>
      </w:r>
    </w:p>
    <w:p w:rsidR="008061C6" w:rsidRDefault="008061C6">
      <w:pPr>
        <w:pStyle w:val="BodyText"/>
        <w:spacing w:before="7"/>
        <w:rPr>
          <w:i/>
          <w:sz w:val="21"/>
        </w:rPr>
      </w:pPr>
    </w:p>
    <w:tbl>
      <w:tblPr>
        <w:tblW w:w="0" w:type="auto"/>
        <w:tblInd w:w="1362" w:type="dxa"/>
        <w:tblBorders>
          <w:top w:val="single" w:sz="4" w:space="0" w:color="454443"/>
          <w:left w:val="single" w:sz="4" w:space="0" w:color="454443"/>
          <w:bottom w:val="single" w:sz="4" w:space="0" w:color="454443"/>
          <w:right w:val="single" w:sz="4" w:space="0" w:color="454443"/>
          <w:insideH w:val="single" w:sz="4" w:space="0" w:color="454443"/>
          <w:insideV w:val="single" w:sz="4" w:space="0" w:color="454443"/>
        </w:tblBorders>
        <w:tblLayout w:type="fixed"/>
        <w:tblCellMar>
          <w:left w:w="0" w:type="dxa"/>
          <w:right w:w="0" w:type="dxa"/>
        </w:tblCellMar>
        <w:tblLook w:val="01E0" w:firstRow="1" w:lastRow="1" w:firstColumn="1" w:lastColumn="1" w:noHBand="0" w:noVBand="0"/>
      </w:tblPr>
      <w:tblGrid>
        <w:gridCol w:w="8538"/>
        <w:gridCol w:w="1440"/>
      </w:tblGrid>
      <w:tr w:rsidR="008061C6" w:rsidTr="00F835F4">
        <w:trPr>
          <w:trHeight w:val="518"/>
        </w:trPr>
        <w:tc>
          <w:tcPr>
            <w:tcW w:w="9978" w:type="dxa"/>
            <w:gridSpan w:val="2"/>
            <w:tcBorders>
              <w:top w:val="nil"/>
              <w:left w:val="nil"/>
              <w:bottom w:val="nil"/>
              <w:right w:val="nil"/>
            </w:tcBorders>
            <w:shd w:val="clear" w:color="auto" w:fill="454443"/>
          </w:tcPr>
          <w:p w:rsidR="008061C6" w:rsidRDefault="00B41147">
            <w:pPr>
              <w:pStyle w:val="TableParagraph"/>
              <w:tabs>
                <w:tab w:val="left" w:pos="2518"/>
                <w:tab w:val="left" w:pos="8900"/>
              </w:tabs>
              <w:spacing w:before="72" w:line="249" w:lineRule="exact"/>
              <w:ind w:left="1809"/>
              <w:rPr>
                <w:rFonts w:ascii="Times New Roman"/>
                <w:sz w:val="16"/>
              </w:rPr>
            </w:pPr>
            <w:r>
              <w:rPr>
                <w:rFonts w:ascii="Times New Roman"/>
                <w:color w:val="FFFFFF"/>
                <w:w w:val="105"/>
                <w:sz w:val="18"/>
              </w:rPr>
              <w:t>ITEM</w:t>
            </w:r>
            <w:r>
              <w:rPr>
                <w:rFonts w:ascii="Times New Roman"/>
                <w:color w:val="FFFFFF"/>
                <w:w w:val="105"/>
                <w:sz w:val="18"/>
              </w:rPr>
              <w:tab/>
              <w:t>RECOMMENDATION</w:t>
            </w:r>
            <w:r>
              <w:rPr>
                <w:rFonts w:ascii="Times New Roman"/>
                <w:color w:val="FFFFFF"/>
                <w:w w:val="105"/>
                <w:sz w:val="18"/>
              </w:rPr>
              <w:tab/>
            </w:r>
            <w:r>
              <w:rPr>
                <w:rFonts w:ascii="Times New Roman"/>
                <w:color w:val="FFFFFF"/>
                <w:w w:val="105"/>
                <w:position w:val="11"/>
                <w:sz w:val="16"/>
              </w:rPr>
              <w:t>Section/</w:t>
            </w:r>
          </w:p>
          <w:p w:rsidR="008061C6" w:rsidRDefault="00B41147">
            <w:pPr>
              <w:pStyle w:val="TableParagraph"/>
              <w:spacing w:line="134" w:lineRule="exact"/>
              <w:ind w:right="276"/>
              <w:jc w:val="right"/>
              <w:rPr>
                <w:rFonts w:ascii="Times New Roman"/>
                <w:sz w:val="16"/>
              </w:rPr>
            </w:pPr>
            <w:r>
              <w:rPr>
                <w:rFonts w:ascii="Times New Roman"/>
                <w:color w:val="FFFFFF"/>
                <w:w w:val="115"/>
                <w:sz w:val="16"/>
              </w:rPr>
              <w:t>Paragraph</w:t>
            </w:r>
          </w:p>
        </w:tc>
      </w:tr>
      <w:tr w:rsidR="008061C6" w:rsidTr="00F835F4">
        <w:trPr>
          <w:trHeight w:val="769"/>
        </w:trPr>
        <w:tc>
          <w:tcPr>
            <w:tcW w:w="8538" w:type="dxa"/>
            <w:tcBorders>
              <w:left w:val="nil"/>
              <w:bottom w:val="single" w:sz="4" w:space="0" w:color="auto"/>
              <w:right w:val="single" w:sz="8" w:space="0" w:color="454443"/>
            </w:tcBorders>
          </w:tcPr>
          <w:p w:rsidR="008061C6" w:rsidRDefault="00B41147" w:rsidP="00156D51">
            <w:pPr>
              <w:pStyle w:val="TableParagraph"/>
              <w:tabs>
                <w:tab w:val="left" w:pos="1809"/>
                <w:tab w:val="left" w:pos="2518"/>
              </w:tabs>
              <w:spacing w:before="61" w:line="232" w:lineRule="auto"/>
              <w:ind w:left="2518" w:right="227" w:hanging="2411"/>
              <w:rPr>
                <w:sz w:val="18"/>
              </w:rPr>
            </w:pPr>
            <w:r>
              <w:rPr>
                <w:rFonts w:ascii="Times New Roman"/>
                <w:w w:val="105"/>
                <w:sz w:val="18"/>
              </w:rPr>
              <w:t>Title</w:t>
            </w:r>
            <w:r>
              <w:rPr>
                <w:rFonts w:ascii="Times New Roman"/>
                <w:w w:val="105"/>
                <w:sz w:val="18"/>
              </w:rPr>
              <w:tab/>
            </w:r>
            <w:r>
              <w:rPr>
                <w:w w:val="105"/>
                <w:position w:val="1"/>
                <w:sz w:val="18"/>
              </w:rPr>
              <w:t>1</w:t>
            </w:r>
            <w:r>
              <w:rPr>
                <w:w w:val="105"/>
                <w:position w:val="1"/>
                <w:sz w:val="18"/>
              </w:rPr>
              <w:tab/>
            </w:r>
            <w:r w:rsidR="00156D51" w:rsidRPr="00156D51">
              <w:rPr>
                <w:w w:val="105"/>
                <w:position w:val="1"/>
                <w:sz w:val="18"/>
              </w:rPr>
              <w:t>Comparative analysis of PIA and rSesC mixture as vaccine candidate against biofilm forming Staphylococcus aureus.</w:t>
            </w:r>
          </w:p>
        </w:tc>
        <w:tc>
          <w:tcPr>
            <w:tcW w:w="1440" w:type="dxa"/>
            <w:tcBorders>
              <w:left w:val="single" w:sz="8" w:space="0" w:color="454443"/>
              <w:bottom w:val="single" w:sz="4" w:space="0" w:color="auto"/>
              <w:right w:val="nil"/>
            </w:tcBorders>
          </w:tcPr>
          <w:p w:rsidR="008061C6" w:rsidRDefault="008061C6">
            <w:pPr>
              <w:pStyle w:val="TableParagraph"/>
              <w:rPr>
                <w:rFonts w:ascii="Times New Roman"/>
                <w:sz w:val="18"/>
              </w:rPr>
            </w:pPr>
          </w:p>
        </w:tc>
      </w:tr>
      <w:tr w:rsidR="00156D51" w:rsidTr="00F835F4">
        <w:trPr>
          <w:trHeight w:val="876"/>
        </w:trPr>
        <w:tc>
          <w:tcPr>
            <w:tcW w:w="8538" w:type="dxa"/>
            <w:tcBorders>
              <w:top w:val="single" w:sz="8" w:space="0" w:color="454443"/>
              <w:left w:val="nil"/>
              <w:bottom w:val="single" w:sz="4" w:space="0" w:color="auto"/>
              <w:right w:val="single" w:sz="8" w:space="0" w:color="921F48"/>
            </w:tcBorders>
          </w:tcPr>
          <w:p w:rsidR="00F835F4" w:rsidRDefault="00F835F4" w:rsidP="008E7B5F">
            <w:pPr>
              <w:pStyle w:val="TableParagraph"/>
              <w:tabs>
                <w:tab w:val="left" w:pos="1809"/>
                <w:tab w:val="left" w:pos="2518"/>
              </w:tabs>
              <w:spacing w:before="57" w:line="237" w:lineRule="auto"/>
              <w:ind w:left="2518" w:right="529" w:hanging="2411"/>
              <w:rPr>
                <w:rFonts w:ascii="Times New Roman"/>
                <w:w w:val="105"/>
                <w:sz w:val="18"/>
              </w:rPr>
            </w:pPr>
          </w:p>
          <w:p w:rsidR="00F835F4" w:rsidRDefault="00F835F4" w:rsidP="008E7B5F">
            <w:pPr>
              <w:pStyle w:val="TableParagraph"/>
              <w:tabs>
                <w:tab w:val="left" w:pos="1809"/>
                <w:tab w:val="left" w:pos="2518"/>
              </w:tabs>
              <w:spacing w:before="57" w:line="237" w:lineRule="auto"/>
              <w:ind w:left="2518" w:right="529" w:hanging="2411"/>
              <w:rPr>
                <w:rFonts w:ascii="Times New Roman"/>
                <w:w w:val="105"/>
                <w:sz w:val="18"/>
              </w:rPr>
            </w:pPr>
          </w:p>
          <w:p w:rsidR="00F835F4" w:rsidRDefault="00F835F4" w:rsidP="008E7B5F">
            <w:pPr>
              <w:pStyle w:val="TableParagraph"/>
              <w:tabs>
                <w:tab w:val="left" w:pos="1809"/>
                <w:tab w:val="left" w:pos="2518"/>
              </w:tabs>
              <w:spacing w:before="57" w:line="237" w:lineRule="auto"/>
              <w:ind w:left="2518" w:right="529" w:hanging="2411"/>
              <w:rPr>
                <w:rFonts w:ascii="Times New Roman"/>
                <w:w w:val="105"/>
                <w:sz w:val="18"/>
              </w:rPr>
            </w:pPr>
          </w:p>
          <w:p w:rsidR="00F835F4" w:rsidRDefault="00F835F4" w:rsidP="008E7B5F">
            <w:pPr>
              <w:pStyle w:val="TableParagraph"/>
              <w:tabs>
                <w:tab w:val="left" w:pos="1809"/>
                <w:tab w:val="left" w:pos="2518"/>
              </w:tabs>
              <w:spacing w:before="57" w:line="237" w:lineRule="auto"/>
              <w:ind w:left="2518" w:right="529" w:hanging="2411"/>
              <w:rPr>
                <w:rFonts w:ascii="Times New Roman"/>
                <w:w w:val="105"/>
                <w:sz w:val="18"/>
              </w:rPr>
            </w:pPr>
          </w:p>
          <w:p w:rsidR="00F835F4" w:rsidRDefault="00F835F4" w:rsidP="008E7B5F">
            <w:pPr>
              <w:pStyle w:val="TableParagraph"/>
              <w:tabs>
                <w:tab w:val="left" w:pos="1809"/>
                <w:tab w:val="left" w:pos="2518"/>
              </w:tabs>
              <w:spacing w:before="57" w:line="237" w:lineRule="auto"/>
              <w:ind w:left="2518" w:right="529" w:hanging="2411"/>
              <w:rPr>
                <w:rFonts w:ascii="Times New Roman"/>
                <w:w w:val="105"/>
                <w:sz w:val="18"/>
              </w:rPr>
            </w:pPr>
          </w:p>
          <w:p w:rsidR="008E7B5F" w:rsidRPr="008E7B5F" w:rsidRDefault="00156D51" w:rsidP="008E7B5F">
            <w:pPr>
              <w:pStyle w:val="TableParagraph"/>
              <w:tabs>
                <w:tab w:val="left" w:pos="1809"/>
                <w:tab w:val="left" w:pos="2518"/>
              </w:tabs>
              <w:spacing w:before="57" w:line="237" w:lineRule="auto"/>
              <w:ind w:left="2518" w:right="529" w:hanging="2411"/>
              <w:rPr>
                <w:w w:val="105"/>
                <w:position w:val="1"/>
                <w:sz w:val="18"/>
              </w:rPr>
            </w:pPr>
            <w:r>
              <w:rPr>
                <w:rFonts w:ascii="Times New Roman"/>
                <w:w w:val="105"/>
                <w:sz w:val="18"/>
              </w:rPr>
              <w:t>Abstract</w:t>
            </w:r>
            <w:r>
              <w:rPr>
                <w:rFonts w:ascii="Times New Roman"/>
                <w:w w:val="105"/>
                <w:sz w:val="18"/>
              </w:rPr>
              <w:tab/>
            </w:r>
            <w:r>
              <w:rPr>
                <w:w w:val="105"/>
                <w:position w:val="1"/>
                <w:sz w:val="18"/>
              </w:rPr>
              <w:t>2</w:t>
            </w:r>
            <w:r>
              <w:rPr>
                <w:w w:val="105"/>
                <w:position w:val="1"/>
                <w:sz w:val="18"/>
              </w:rPr>
              <w:tab/>
            </w:r>
            <w:r w:rsidR="008E7B5F" w:rsidRPr="008E7B5F">
              <w:rPr>
                <w:w w:val="105"/>
                <w:position w:val="1"/>
                <w:sz w:val="18"/>
              </w:rPr>
              <w:t>Background: Staphylococcus aureus as a causative agent of hospital-acquired infections, because of the biofilm forming ability and multidrug-resistant features, has been considered as the primary concern in biomaterial-related infections (BAIs).</w:t>
            </w:r>
          </w:p>
          <w:p w:rsidR="008E7B5F" w:rsidRDefault="008E7B5F" w:rsidP="008E7B5F">
            <w:pPr>
              <w:pStyle w:val="TableParagraph"/>
              <w:tabs>
                <w:tab w:val="left" w:pos="1809"/>
                <w:tab w:val="left" w:pos="2518"/>
              </w:tabs>
              <w:spacing w:before="57" w:line="237" w:lineRule="auto"/>
              <w:ind w:left="2518" w:right="529" w:hanging="2411"/>
              <w:rPr>
                <w:w w:val="105"/>
                <w:position w:val="1"/>
                <w:sz w:val="18"/>
              </w:rPr>
            </w:pPr>
          </w:p>
          <w:p w:rsidR="008E7B5F" w:rsidRDefault="008E7B5F" w:rsidP="008E7B5F">
            <w:pPr>
              <w:pStyle w:val="TableParagraph"/>
              <w:tabs>
                <w:tab w:val="left" w:pos="1809"/>
                <w:tab w:val="left" w:pos="2518"/>
              </w:tabs>
              <w:spacing w:before="57" w:line="237" w:lineRule="auto"/>
              <w:ind w:left="2518" w:right="529" w:hanging="2411"/>
              <w:rPr>
                <w:w w:val="105"/>
                <w:position w:val="1"/>
                <w:sz w:val="18"/>
              </w:rPr>
            </w:pPr>
          </w:p>
          <w:p w:rsidR="008E7B5F" w:rsidRPr="008E7B5F" w:rsidRDefault="008E7B5F" w:rsidP="00F835F4">
            <w:pPr>
              <w:pStyle w:val="TableParagraph"/>
              <w:tabs>
                <w:tab w:val="left" w:pos="1809"/>
                <w:tab w:val="left" w:pos="2518"/>
              </w:tabs>
              <w:spacing w:before="57" w:line="237" w:lineRule="auto"/>
              <w:ind w:left="2518" w:right="529" w:hanging="2411"/>
              <w:rPr>
                <w:w w:val="105"/>
                <w:position w:val="1"/>
                <w:sz w:val="18"/>
              </w:rPr>
            </w:pPr>
            <w:r w:rsidRPr="008E7B5F">
              <w:rPr>
                <w:w w:val="105"/>
                <w:position w:val="1"/>
                <w:sz w:val="18"/>
              </w:rPr>
              <w:t xml:space="preserve">Methods: Following the purification of polysaccharide intercellular adhesion (PIA) as an efficient macromolecule in biofilm formation in the native condition, recombinant S. epidermidis Surface exposed rSesC protein, with the most homology to clumping factor A (ClfA) in S. aureus was cloned and expressed in a prokaryotic host as well. Fourier transform infrared spectrometry (FTIR) and Western blotting procedure </w:t>
            </w:r>
            <w:r w:rsidR="00F835F4" w:rsidRPr="008E7B5F">
              <w:rPr>
                <w:w w:val="105"/>
                <w:position w:val="1"/>
                <w:sz w:val="18"/>
              </w:rPr>
              <w:t>analysed</w:t>
            </w:r>
            <w:r w:rsidRPr="008E7B5F">
              <w:rPr>
                <w:w w:val="105"/>
                <w:position w:val="1"/>
                <w:sz w:val="18"/>
              </w:rPr>
              <w:t xml:space="preserve"> purified PIA and protein, respectively. Afterward, the immune response was evaluated by measuring total IgG titers. Moreover, the capacity of Anti-biofilm forming activity of arisen antibodies to a biofilm forming S. aureus strains was assessed by semi-quantitative micro-plate procedure.</w:t>
            </w:r>
          </w:p>
          <w:p w:rsidR="008E7B5F" w:rsidRPr="008E7B5F" w:rsidRDefault="008E7B5F" w:rsidP="008E7B5F">
            <w:pPr>
              <w:pStyle w:val="TableParagraph"/>
              <w:tabs>
                <w:tab w:val="left" w:pos="1809"/>
                <w:tab w:val="left" w:pos="2518"/>
              </w:tabs>
              <w:spacing w:before="57" w:line="237" w:lineRule="auto"/>
              <w:ind w:left="2518" w:right="529" w:hanging="2411"/>
              <w:rPr>
                <w:w w:val="105"/>
                <w:position w:val="1"/>
                <w:sz w:val="18"/>
              </w:rPr>
            </w:pPr>
            <w:r w:rsidRPr="008E7B5F">
              <w:rPr>
                <w:w w:val="105"/>
                <w:position w:val="1"/>
                <w:sz w:val="18"/>
              </w:rPr>
              <w:t xml:space="preserve">Results: Data showed that total IgGs was boosted in mice immunized sera. Performing inhibition assay, biofilm inhibitory effect of secreted antibodies to test strain observed. Arisen antibodies against the mixture significantly are revealed more potency than PIA and rSesC when comparing them in a biofilm inhibition assay. </w:t>
            </w:r>
          </w:p>
          <w:p w:rsidR="00156D51" w:rsidRDefault="008E7B5F" w:rsidP="008E7B5F">
            <w:pPr>
              <w:pStyle w:val="TableParagraph"/>
              <w:tabs>
                <w:tab w:val="left" w:pos="1809"/>
                <w:tab w:val="left" w:pos="2518"/>
              </w:tabs>
              <w:spacing w:before="57" w:line="237" w:lineRule="auto"/>
              <w:ind w:left="2518" w:right="529" w:hanging="2411"/>
              <w:rPr>
                <w:sz w:val="18"/>
              </w:rPr>
            </w:pPr>
            <w:r w:rsidRPr="008E7B5F">
              <w:rPr>
                <w:w w:val="105"/>
                <w:position w:val="1"/>
                <w:sz w:val="18"/>
              </w:rPr>
              <w:t>Conclusion: immunization of mice with mentioned antigens especially a mixture of them could be eliminated the biofilm formation process in S. aureus and hopefully, this study confirms the proposal that the immunization of mice with PIA and rSesC candidate vaccine could protect against S. aureus infection.</w:t>
            </w:r>
          </w:p>
        </w:tc>
        <w:tc>
          <w:tcPr>
            <w:tcW w:w="1440" w:type="dxa"/>
            <w:tcBorders>
              <w:top w:val="single" w:sz="8" w:space="0" w:color="454443"/>
              <w:left w:val="single" w:sz="8" w:space="0" w:color="921F48"/>
              <w:bottom w:val="single" w:sz="4" w:space="0" w:color="auto"/>
              <w:right w:val="nil"/>
            </w:tcBorders>
          </w:tcPr>
          <w:p w:rsidR="00156D51" w:rsidRDefault="008E7B5F">
            <w:pPr>
              <w:pStyle w:val="TableParagraph"/>
              <w:rPr>
                <w:rFonts w:ascii="Times New Roman"/>
                <w:sz w:val="18"/>
              </w:rPr>
            </w:pPr>
            <w:r w:rsidRPr="008E7B5F">
              <w:rPr>
                <w:rFonts w:ascii="Times New Roman"/>
                <w:sz w:val="18"/>
              </w:rPr>
              <w:t>Methods, paragraph 1- 4</w:t>
            </w:r>
          </w:p>
          <w:p w:rsidR="008E7B5F" w:rsidRDefault="008E7B5F">
            <w:pPr>
              <w:pStyle w:val="TableParagraph"/>
              <w:rPr>
                <w:rFonts w:ascii="Times New Roman"/>
                <w:sz w:val="18"/>
              </w:rPr>
            </w:pPr>
          </w:p>
          <w:p w:rsidR="008E7B5F" w:rsidRDefault="008E7B5F">
            <w:pPr>
              <w:pStyle w:val="TableParagraph"/>
              <w:rPr>
                <w:rFonts w:ascii="Times New Roman"/>
                <w:sz w:val="18"/>
              </w:rPr>
            </w:pPr>
          </w:p>
          <w:p w:rsidR="008E7B5F" w:rsidRDefault="008E7B5F">
            <w:pPr>
              <w:pStyle w:val="TableParagraph"/>
              <w:rPr>
                <w:rFonts w:ascii="Times New Roman"/>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F835F4" w:rsidRDefault="00F835F4" w:rsidP="008E7B5F">
            <w:pPr>
              <w:pStyle w:val="TableParagraph"/>
              <w:tabs>
                <w:tab w:val="left" w:pos="1809"/>
                <w:tab w:val="left" w:pos="2518"/>
              </w:tabs>
              <w:spacing w:before="140" w:line="215" w:lineRule="exact"/>
              <w:ind w:left="107"/>
              <w:rPr>
                <w:w w:val="105"/>
                <w:position w:val="1"/>
                <w:sz w:val="18"/>
              </w:rPr>
            </w:pPr>
          </w:p>
          <w:p w:rsidR="008E7B5F" w:rsidRDefault="008E7B5F" w:rsidP="00F835F4">
            <w:pPr>
              <w:pStyle w:val="TableParagraph"/>
              <w:tabs>
                <w:tab w:val="left" w:pos="1809"/>
                <w:tab w:val="left" w:pos="2518"/>
              </w:tabs>
              <w:spacing w:before="140" w:line="215" w:lineRule="exact"/>
              <w:ind w:left="107"/>
              <w:rPr>
                <w:rFonts w:ascii="Times New Roman"/>
                <w:sz w:val="18"/>
              </w:rPr>
            </w:pPr>
          </w:p>
        </w:tc>
      </w:tr>
      <w:tr w:rsidR="00156D51" w:rsidTr="00F835F4">
        <w:trPr>
          <w:trHeight w:val="1740"/>
        </w:trPr>
        <w:tc>
          <w:tcPr>
            <w:tcW w:w="8538" w:type="dxa"/>
            <w:tcBorders>
              <w:top w:val="single" w:sz="4" w:space="0" w:color="auto"/>
              <w:left w:val="nil"/>
              <w:bottom w:val="single" w:sz="8" w:space="0" w:color="921F48"/>
              <w:right w:val="single" w:sz="8" w:space="0" w:color="921F48"/>
            </w:tcBorders>
          </w:tcPr>
          <w:p w:rsidR="00156D51" w:rsidRDefault="00156D51" w:rsidP="00156D51">
            <w:pPr>
              <w:pStyle w:val="TableParagraph"/>
              <w:tabs>
                <w:tab w:val="left" w:pos="1809"/>
                <w:tab w:val="left" w:pos="2518"/>
              </w:tabs>
              <w:spacing w:before="140" w:line="215" w:lineRule="exact"/>
              <w:ind w:left="107"/>
              <w:rPr>
                <w:rFonts w:ascii="Times New Roman"/>
                <w:color w:val="FFFFFF"/>
                <w:w w:val="105"/>
                <w:sz w:val="18"/>
              </w:rPr>
            </w:pPr>
          </w:p>
          <w:p w:rsidR="00F835F4" w:rsidRDefault="00156D51" w:rsidP="00F835F4">
            <w:pPr>
              <w:pStyle w:val="TableParagraph"/>
              <w:tabs>
                <w:tab w:val="left" w:pos="1809"/>
                <w:tab w:val="left" w:pos="2518"/>
              </w:tabs>
              <w:spacing w:before="140" w:line="215" w:lineRule="exact"/>
              <w:rPr>
                <w:w w:val="105"/>
                <w:position w:val="1"/>
                <w:sz w:val="18"/>
              </w:rPr>
            </w:pPr>
            <w:r>
              <w:rPr>
                <w:rFonts w:ascii="Times New Roman"/>
                <w:w w:val="105"/>
                <w:sz w:val="18"/>
              </w:rPr>
              <w:t>Background</w:t>
            </w:r>
            <w:r>
              <w:rPr>
                <w:rFonts w:ascii="Times New Roman"/>
                <w:w w:val="105"/>
                <w:sz w:val="18"/>
              </w:rPr>
              <w:tab/>
            </w:r>
            <w:r>
              <w:rPr>
                <w:w w:val="105"/>
                <w:position w:val="1"/>
                <w:sz w:val="18"/>
              </w:rPr>
              <w:t>3</w:t>
            </w:r>
            <w:r>
              <w:rPr>
                <w:w w:val="105"/>
                <w:position w:val="1"/>
                <w:sz w:val="18"/>
              </w:rPr>
              <w:tab/>
            </w:r>
          </w:p>
          <w:p w:rsidR="00F835F4" w:rsidRDefault="00F835F4" w:rsidP="008E7B5F">
            <w:pPr>
              <w:pStyle w:val="TableParagraph"/>
              <w:tabs>
                <w:tab w:val="left" w:pos="1809"/>
                <w:tab w:val="left" w:pos="2518"/>
              </w:tabs>
              <w:spacing w:before="140" w:line="215" w:lineRule="exact"/>
              <w:ind w:left="107"/>
              <w:rPr>
                <w:w w:val="105"/>
                <w:position w:val="1"/>
                <w:sz w:val="18"/>
              </w:rPr>
            </w:pPr>
          </w:p>
          <w:p w:rsidR="00156D51" w:rsidRDefault="00F835F4" w:rsidP="008E7B5F">
            <w:pPr>
              <w:pStyle w:val="TableParagraph"/>
              <w:tabs>
                <w:tab w:val="left" w:pos="1809"/>
                <w:tab w:val="left" w:pos="2518"/>
              </w:tabs>
              <w:spacing w:before="140" w:line="215" w:lineRule="exact"/>
              <w:ind w:left="107"/>
              <w:rPr>
                <w:rFonts w:ascii="Times New Roman"/>
                <w:w w:val="105"/>
                <w:sz w:val="18"/>
              </w:rPr>
            </w:pPr>
            <w:r w:rsidRPr="00F835F4">
              <w:rPr>
                <w:w w:val="105"/>
                <w:position w:val="1"/>
                <w:sz w:val="18"/>
              </w:rPr>
              <w:t xml:space="preserve">Staphylococci, are opportunistic pathogens and determined as most common causes of infections related to implanted medical devices, infects both hospitalized patients and immunocompromised individuals [1].Considering diverse virulence factors, such as both capsule and cell wall-bound adhesion molecules, surface proteins, toxins, antibiotic resistance, and biofilm formation S. aureus  could be make human and animal related infections. [2]. S. aureus is an etiological agent of the mild to severe related hospitalized patiense disorders including skin and tissue, bacteremia complicated by endocarditis, pneumonia, and metastatic infections. Finding reveled that, almost main part of adults are either permanently or transiently colonized by S. aureus due to the some discovered factors that makes the host susceptible for colonization.  [3] Up to 20-30% of humans, asymptomatically are colonized by S. aureus and 50-60% of those are intermittently colonized [4, 5] Since the 1960s, first (MRSA) strains were detected and then they have been spreading worldwide, becoming a global major challenge. Despite the importance of mentioned bacterium in human and animal infections, there are no available vaccines to prevent S. aureus related infections yet [6]. Contamination of medical devices with S. aureus during insertion might be remarkably depended on the patient health care personal. Although there are some similarity in biofilm-associated infections with S. aureus and S. epidermidis, usually more intensive care is needed for the involvement of S. </w:t>
            </w:r>
            <w:r w:rsidRPr="00F835F4">
              <w:rPr>
                <w:w w:val="105"/>
                <w:position w:val="1"/>
                <w:sz w:val="18"/>
              </w:rPr>
              <w:lastRenderedPageBreak/>
              <w:t>aureus  In comparison with S. epidermidis biofilm-associated infections, not only S. aureus biofilm-associated infections are more difficult to be treated by antibiotic therapy, but also the devices need to get replaced more frequently [7]. The ica operon of staphylococcus spp, encode the production of polysaccharide intercellular adhesin (PIA), also known as poly-N-acetyl glucosamine (PNAG) [8].  The PIA-dependent mechanism is the best understood mechanism of biofilm formation. Cerca et al. demonstrated that rabbit anti-PIA antibodies protect against infections with planktonic cells of PIA-positive S. aureus and S. epidermidis [9]. Based on a study by Maira-Litran et al., anti-dPIA antibodies mediated opsonic killing and protected against S. aureus infection [10]. Recent studies indicate other proteinaceous mechanisms of biofilm formation may exist. Shahrooei revealed that monoclonal antibodies against S. epidermidis surface-exposed Ses proteins can signiﬁcantly reduce the accumulation phase [11]. Clumping factor A (ClfA) is a fibrinogen (Fg) -binding microbial surface molecule recognizing adhesive matrix molecules (MSCRAMM) of S. aureus; 65.1% similarity has been shown between SesC and a 341-aa fragment of ClfA [12].</w:t>
            </w:r>
          </w:p>
        </w:tc>
        <w:tc>
          <w:tcPr>
            <w:tcW w:w="1440" w:type="dxa"/>
            <w:tcBorders>
              <w:top w:val="single" w:sz="4" w:space="0" w:color="auto"/>
              <w:left w:val="single" w:sz="8" w:space="0" w:color="921F48"/>
              <w:bottom w:val="single" w:sz="8" w:space="0" w:color="921F48"/>
              <w:right w:val="nil"/>
            </w:tcBorders>
          </w:tcPr>
          <w:p w:rsidR="00F835F4" w:rsidRDefault="00F835F4" w:rsidP="00F835F4">
            <w:pPr>
              <w:pStyle w:val="TableParagraph"/>
              <w:rPr>
                <w:rFonts w:ascii="Times New Roman"/>
                <w:sz w:val="18"/>
              </w:rPr>
            </w:pPr>
            <w:r>
              <w:rPr>
                <w:rFonts w:ascii="Times New Roman"/>
                <w:sz w:val="18"/>
              </w:rPr>
              <w:lastRenderedPageBreak/>
              <w:t xml:space="preserve"> </w:t>
            </w:r>
          </w:p>
          <w:p w:rsidR="00F835F4" w:rsidRDefault="00F835F4" w:rsidP="00F835F4">
            <w:pPr>
              <w:pStyle w:val="TableParagraph"/>
              <w:rPr>
                <w:rFonts w:ascii="Times New Roman"/>
                <w:sz w:val="18"/>
              </w:rPr>
            </w:pPr>
          </w:p>
          <w:p w:rsidR="00156D51" w:rsidRDefault="00F835F4" w:rsidP="00F835F4">
            <w:pPr>
              <w:pStyle w:val="TableParagraph"/>
              <w:rPr>
                <w:rFonts w:ascii="Times New Roman"/>
                <w:sz w:val="18"/>
              </w:rPr>
            </w:pPr>
            <w:r>
              <w:rPr>
                <w:rFonts w:ascii="Times New Roman"/>
                <w:sz w:val="18"/>
              </w:rPr>
              <w:t xml:space="preserve">      </w:t>
            </w:r>
            <w:r w:rsidRPr="00F835F4">
              <w:rPr>
                <w:rFonts w:ascii="Times New Roman"/>
                <w:sz w:val="18"/>
              </w:rPr>
              <w:t xml:space="preserve">Background, </w:t>
            </w:r>
            <w:r>
              <w:rPr>
                <w:rFonts w:ascii="Times New Roman"/>
                <w:sz w:val="18"/>
              </w:rPr>
              <w:t xml:space="preserve">       </w:t>
            </w:r>
            <w:r w:rsidRPr="00F835F4">
              <w:rPr>
                <w:rFonts w:ascii="Times New Roman"/>
                <w:sz w:val="18"/>
              </w:rPr>
              <w:t>Line 41- 70</w:t>
            </w:r>
          </w:p>
        </w:tc>
      </w:tr>
      <w:tr w:rsidR="008061C6" w:rsidTr="00F835F4">
        <w:trPr>
          <w:trHeight w:val="536"/>
        </w:trPr>
        <w:tc>
          <w:tcPr>
            <w:tcW w:w="8538" w:type="dxa"/>
            <w:tcBorders>
              <w:top w:val="single" w:sz="8" w:space="0" w:color="921F48"/>
              <w:left w:val="nil"/>
              <w:bottom w:val="single" w:sz="8" w:space="0" w:color="498683"/>
              <w:right w:val="single" w:sz="8" w:space="0" w:color="921F48"/>
            </w:tcBorders>
          </w:tcPr>
          <w:p w:rsidR="008061C6" w:rsidRDefault="00B41147" w:rsidP="00156D51">
            <w:pPr>
              <w:pStyle w:val="TableParagraph"/>
              <w:tabs>
                <w:tab w:val="left" w:pos="1809"/>
                <w:tab w:val="left" w:pos="2518"/>
              </w:tabs>
              <w:spacing w:before="65" w:line="230" w:lineRule="auto"/>
              <w:ind w:left="2518" w:right="206" w:hanging="2411"/>
              <w:rPr>
                <w:sz w:val="18"/>
              </w:rPr>
            </w:pPr>
            <w:r>
              <w:rPr>
                <w:rFonts w:ascii="Times New Roman"/>
                <w:w w:val="105"/>
                <w:sz w:val="18"/>
              </w:rPr>
              <w:t>Objectives</w:t>
            </w:r>
            <w:r>
              <w:rPr>
                <w:rFonts w:ascii="Times New Roman"/>
                <w:w w:val="105"/>
                <w:sz w:val="18"/>
              </w:rPr>
              <w:tab/>
            </w:r>
            <w:r>
              <w:rPr>
                <w:w w:val="105"/>
                <w:position w:val="1"/>
                <w:sz w:val="18"/>
              </w:rPr>
              <w:t>4</w:t>
            </w:r>
            <w:r>
              <w:rPr>
                <w:w w:val="105"/>
                <w:position w:val="1"/>
                <w:sz w:val="18"/>
              </w:rPr>
              <w:tab/>
            </w:r>
            <w:r w:rsidR="00156D51" w:rsidRPr="00156D51">
              <w:rPr>
                <w:w w:val="105"/>
                <w:position w:val="1"/>
                <w:sz w:val="18"/>
              </w:rPr>
              <w:t xml:space="preserve">Owing to the vital biofilm forming capacity role in the chronic staphylococcal disease development, evaluation of the biofilm inhibitory effect of PIA and recombinant SesC antibodies against a biofilm forming </w:t>
            </w:r>
            <w:r w:rsidR="00156D51" w:rsidRPr="00156D51">
              <w:rPr>
                <w:i/>
                <w:iCs/>
                <w:w w:val="105"/>
                <w:position w:val="1"/>
                <w:sz w:val="18"/>
              </w:rPr>
              <w:t>S. aureus</w:t>
            </w:r>
            <w:r w:rsidR="00156D51" w:rsidRPr="00156D51">
              <w:rPr>
                <w:w w:val="105"/>
                <w:position w:val="1"/>
                <w:sz w:val="18"/>
              </w:rPr>
              <w:t>, separately and in mixture was targeted as the main goal of this study.</w:t>
            </w:r>
          </w:p>
        </w:tc>
        <w:tc>
          <w:tcPr>
            <w:tcW w:w="1440" w:type="dxa"/>
            <w:tcBorders>
              <w:top w:val="single" w:sz="8" w:space="0" w:color="921F48"/>
              <w:left w:val="single" w:sz="8" w:space="0" w:color="921F48"/>
              <w:bottom w:val="single" w:sz="8" w:space="0" w:color="498683"/>
              <w:right w:val="nil"/>
            </w:tcBorders>
          </w:tcPr>
          <w:p w:rsidR="008061C6" w:rsidRDefault="008E7B5F">
            <w:pPr>
              <w:pStyle w:val="TableParagraph"/>
              <w:rPr>
                <w:rFonts w:ascii="Times New Roman"/>
                <w:sz w:val="18"/>
              </w:rPr>
            </w:pPr>
            <w:r>
              <w:rPr>
                <w:rFonts w:ascii="Times New Roman"/>
                <w:sz w:val="18"/>
              </w:rPr>
              <w:t>Background, paragraph 2 (Line 70- 74)</w:t>
            </w:r>
          </w:p>
        </w:tc>
      </w:tr>
      <w:tr w:rsidR="008061C6" w:rsidTr="00F835F4">
        <w:trPr>
          <w:trHeight w:val="357"/>
        </w:trPr>
        <w:tc>
          <w:tcPr>
            <w:tcW w:w="8538" w:type="dxa"/>
            <w:tcBorders>
              <w:top w:val="nil"/>
              <w:left w:val="nil"/>
              <w:bottom w:val="nil"/>
              <w:right w:val="nil"/>
            </w:tcBorders>
            <w:shd w:val="clear" w:color="auto" w:fill="498683"/>
          </w:tcPr>
          <w:p w:rsidR="008061C6" w:rsidRDefault="00B41147">
            <w:pPr>
              <w:pStyle w:val="TableParagraph"/>
              <w:spacing w:before="69"/>
              <w:ind w:left="107"/>
              <w:rPr>
                <w:rFonts w:ascii="Times New Roman"/>
                <w:sz w:val="18"/>
              </w:rPr>
            </w:pPr>
            <w:r>
              <w:rPr>
                <w:rFonts w:ascii="Times New Roman"/>
                <w:color w:val="FFFFFF"/>
                <w:w w:val="105"/>
                <w:sz w:val="18"/>
              </w:rPr>
              <w:t>METHODS</w:t>
            </w:r>
          </w:p>
        </w:tc>
        <w:tc>
          <w:tcPr>
            <w:tcW w:w="1440" w:type="dxa"/>
            <w:tcBorders>
              <w:top w:val="nil"/>
              <w:left w:val="nil"/>
              <w:bottom w:val="nil"/>
              <w:right w:val="nil"/>
            </w:tcBorders>
            <w:shd w:val="clear" w:color="auto" w:fill="498683"/>
          </w:tcPr>
          <w:p w:rsidR="008061C6" w:rsidRDefault="008061C6">
            <w:pPr>
              <w:pStyle w:val="TableParagraph"/>
              <w:rPr>
                <w:rFonts w:ascii="Times New Roman"/>
                <w:sz w:val="18"/>
              </w:rPr>
            </w:pPr>
          </w:p>
        </w:tc>
      </w:tr>
      <w:tr w:rsidR="008061C6" w:rsidTr="00F835F4">
        <w:trPr>
          <w:trHeight w:val="746"/>
        </w:trPr>
        <w:tc>
          <w:tcPr>
            <w:tcW w:w="8538" w:type="dxa"/>
            <w:tcBorders>
              <w:top w:val="nil"/>
              <w:left w:val="nil"/>
              <w:bottom w:val="single" w:sz="8" w:space="0" w:color="498683"/>
              <w:right w:val="single" w:sz="8" w:space="0" w:color="498683"/>
            </w:tcBorders>
          </w:tcPr>
          <w:p w:rsidR="00F835F4" w:rsidRDefault="00B41147" w:rsidP="00156D51">
            <w:pPr>
              <w:pStyle w:val="TableParagraph"/>
              <w:tabs>
                <w:tab w:val="left" w:pos="1809"/>
                <w:tab w:val="left" w:pos="2518"/>
              </w:tabs>
              <w:spacing w:before="59" w:line="215" w:lineRule="exact"/>
              <w:ind w:left="107"/>
              <w:rPr>
                <w:w w:val="105"/>
                <w:position w:val="1"/>
                <w:sz w:val="18"/>
              </w:rPr>
            </w:pPr>
            <w:r>
              <w:rPr>
                <w:rFonts w:ascii="Times New Roman"/>
                <w:w w:val="105"/>
                <w:sz w:val="18"/>
              </w:rPr>
              <w:t>Ethical</w:t>
            </w:r>
            <w:r>
              <w:rPr>
                <w:rFonts w:ascii="Times New Roman"/>
                <w:spacing w:val="32"/>
                <w:w w:val="105"/>
                <w:sz w:val="18"/>
              </w:rPr>
              <w:t xml:space="preserve"> </w:t>
            </w:r>
            <w:r>
              <w:rPr>
                <w:rFonts w:ascii="Times New Roman"/>
                <w:w w:val="105"/>
                <w:sz w:val="18"/>
              </w:rPr>
              <w:t>statement</w:t>
            </w:r>
            <w:r>
              <w:rPr>
                <w:rFonts w:ascii="Times New Roman"/>
                <w:w w:val="105"/>
                <w:sz w:val="18"/>
              </w:rPr>
              <w:tab/>
            </w:r>
            <w:r>
              <w:rPr>
                <w:w w:val="105"/>
                <w:position w:val="1"/>
                <w:sz w:val="18"/>
              </w:rPr>
              <w:t>5</w:t>
            </w:r>
            <w:r>
              <w:rPr>
                <w:w w:val="105"/>
                <w:position w:val="1"/>
                <w:sz w:val="18"/>
              </w:rPr>
              <w:tab/>
            </w:r>
          </w:p>
          <w:p w:rsidR="00F835F4" w:rsidRDefault="00F835F4" w:rsidP="00156D51">
            <w:pPr>
              <w:pStyle w:val="TableParagraph"/>
              <w:tabs>
                <w:tab w:val="left" w:pos="1809"/>
                <w:tab w:val="left" w:pos="2518"/>
              </w:tabs>
              <w:spacing w:before="59" w:line="215" w:lineRule="exact"/>
              <w:ind w:left="107"/>
              <w:rPr>
                <w:w w:val="105"/>
                <w:position w:val="1"/>
                <w:sz w:val="18"/>
              </w:rPr>
            </w:pPr>
          </w:p>
          <w:p w:rsidR="00156D51" w:rsidRPr="00156D51" w:rsidRDefault="00156D51" w:rsidP="00156D51">
            <w:pPr>
              <w:pStyle w:val="TableParagraph"/>
              <w:tabs>
                <w:tab w:val="left" w:pos="1809"/>
                <w:tab w:val="left" w:pos="2518"/>
              </w:tabs>
              <w:spacing w:before="59" w:line="215" w:lineRule="exact"/>
              <w:ind w:left="107"/>
              <w:rPr>
                <w:w w:val="105"/>
                <w:position w:val="1"/>
                <w:sz w:val="18"/>
              </w:rPr>
            </w:pPr>
            <w:r w:rsidRPr="00156D51">
              <w:rPr>
                <w:w w:val="105"/>
                <w:position w:val="1"/>
                <w:sz w:val="18"/>
              </w:rPr>
              <w:t xml:space="preserve">All animal experiments were performed in accordance with the enlarged </w:t>
            </w:r>
            <w:r w:rsidR="008E7B5F">
              <w:rPr>
                <w:w w:val="105"/>
                <w:position w:val="1"/>
                <w:sz w:val="18"/>
              </w:rPr>
              <w:t xml:space="preserve">    </w:t>
            </w:r>
            <w:r w:rsidR="00F835F4">
              <w:rPr>
                <w:w w:val="105"/>
                <w:position w:val="1"/>
                <w:sz w:val="18"/>
              </w:rPr>
              <w:t xml:space="preserve">  </w:t>
            </w:r>
            <w:r w:rsidRPr="00156D51">
              <w:rPr>
                <w:w w:val="105"/>
                <w:position w:val="1"/>
                <w:sz w:val="18"/>
              </w:rPr>
              <w:t xml:space="preserve">ethical statement and approved by Mazandaran University of Medical Sciences ethics committee All performed on the enlarged ethical statement IR.MAZUMS.REC.1397.55 meeting number in Mazandaran University of Medical Sciences. Inbred mice were purchased from the Research Institution of Pasteur, Karaj, Iran. </w:t>
            </w:r>
          </w:p>
          <w:p w:rsidR="00156D51" w:rsidRDefault="00156D51" w:rsidP="00156D51">
            <w:pPr>
              <w:pStyle w:val="TableParagraph"/>
              <w:tabs>
                <w:tab w:val="left" w:pos="1809"/>
                <w:tab w:val="left" w:pos="2518"/>
              </w:tabs>
              <w:spacing w:before="59" w:line="215" w:lineRule="exact"/>
              <w:ind w:left="107"/>
              <w:rPr>
                <w:sz w:val="18"/>
              </w:rPr>
            </w:pPr>
            <w:r w:rsidRPr="00156D51">
              <w:rPr>
                <w:w w:val="105"/>
                <w:position w:val="1"/>
                <w:sz w:val="18"/>
              </w:rPr>
              <w:t xml:space="preserve">Using the halogenated ether procedure as an inhalant </w:t>
            </w:r>
            <w:r w:rsidR="008E7B5F" w:rsidRPr="00156D51">
              <w:rPr>
                <w:w w:val="105"/>
                <w:position w:val="1"/>
                <w:sz w:val="18"/>
              </w:rPr>
              <w:t>anaesthetic</w:t>
            </w:r>
            <w:r w:rsidRPr="00156D51">
              <w:rPr>
                <w:w w:val="105"/>
                <w:position w:val="1"/>
                <w:sz w:val="18"/>
              </w:rPr>
              <w:t>, mice were euthanized as well.</w:t>
            </w:r>
          </w:p>
          <w:p w:rsidR="008061C6" w:rsidRDefault="008061C6">
            <w:pPr>
              <w:pStyle w:val="TableParagraph"/>
              <w:ind w:left="2518" w:right="670"/>
              <w:rPr>
                <w:sz w:val="18"/>
              </w:rPr>
            </w:pPr>
          </w:p>
        </w:tc>
        <w:tc>
          <w:tcPr>
            <w:tcW w:w="1440" w:type="dxa"/>
            <w:tcBorders>
              <w:top w:val="nil"/>
              <w:left w:val="single" w:sz="8" w:space="0" w:color="498683"/>
              <w:bottom w:val="single" w:sz="8" w:space="0" w:color="498683"/>
              <w:right w:val="nil"/>
            </w:tcBorders>
          </w:tcPr>
          <w:p w:rsidR="008061C6" w:rsidRDefault="008061C6">
            <w:pPr>
              <w:pStyle w:val="TableParagraph"/>
              <w:rPr>
                <w:rFonts w:ascii="Times New Roman"/>
                <w:sz w:val="18"/>
              </w:rPr>
            </w:pPr>
          </w:p>
        </w:tc>
      </w:tr>
      <w:tr w:rsidR="008061C6" w:rsidTr="00F835F4">
        <w:trPr>
          <w:trHeight w:val="921"/>
        </w:trPr>
        <w:tc>
          <w:tcPr>
            <w:tcW w:w="8538" w:type="dxa"/>
            <w:tcBorders>
              <w:top w:val="single" w:sz="8" w:space="0" w:color="498683"/>
              <w:left w:val="nil"/>
              <w:bottom w:val="single" w:sz="8" w:space="0" w:color="498683"/>
              <w:right w:val="single" w:sz="8" w:space="0" w:color="498683"/>
            </w:tcBorders>
          </w:tcPr>
          <w:p w:rsidR="008061C6" w:rsidRDefault="00B41147" w:rsidP="00F835F4">
            <w:pPr>
              <w:pStyle w:val="TableParagraph"/>
              <w:tabs>
                <w:tab w:val="left" w:pos="1809"/>
                <w:tab w:val="left" w:pos="2518"/>
              </w:tabs>
              <w:spacing w:before="58"/>
              <w:ind w:left="107"/>
              <w:rPr>
                <w:sz w:val="18"/>
              </w:rPr>
            </w:pPr>
            <w:r>
              <w:rPr>
                <w:rFonts w:ascii="Times New Roman"/>
                <w:w w:val="105"/>
                <w:sz w:val="18"/>
              </w:rPr>
              <w:t>Study</w:t>
            </w:r>
            <w:r>
              <w:rPr>
                <w:rFonts w:ascii="Times New Roman"/>
                <w:spacing w:val="26"/>
                <w:w w:val="105"/>
                <w:sz w:val="18"/>
              </w:rPr>
              <w:t xml:space="preserve"> </w:t>
            </w:r>
            <w:r>
              <w:rPr>
                <w:rFonts w:ascii="Times New Roman"/>
                <w:w w:val="105"/>
                <w:sz w:val="18"/>
              </w:rPr>
              <w:t>design</w:t>
            </w:r>
            <w:r>
              <w:rPr>
                <w:rFonts w:ascii="Times New Roman"/>
                <w:w w:val="105"/>
                <w:sz w:val="18"/>
              </w:rPr>
              <w:tab/>
            </w:r>
            <w:r>
              <w:rPr>
                <w:w w:val="105"/>
                <w:position w:val="1"/>
                <w:sz w:val="18"/>
              </w:rPr>
              <w:t>6</w:t>
            </w:r>
            <w:r>
              <w:rPr>
                <w:w w:val="105"/>
                <w:position w:val="1"/>
                <w:sz w:val="18"/>
              </w:rPr>
              <w:tab/>
            </w:r>
          </w:p>
        </w:tc>
        <w:tc>
          <w:tcPr>
            <w:tcW w:w="1440" w:type="dxa"/>
            <w:tcBorders>
              <w:top w:val="single" w:sz="8" w:space="0" w:color="498683"/>
              <w:left w:val="single" w:sz="8" w:space="0" w:color="498683"/>
              <w:bottom w:val="single" w:sz="8" w:space="0" w:color="498683"/>
              <w:right w:val="nil"/>
            </w:tcBorders>
          </w:tcPr>
          <w:p w:rsidR="008061C6" w:rsidRDefault="00F835F4">
            <w:pPr>
              <w:pStyle w:val="TableParagraph"/>
              <w:rPr>
                <w:rFonts w:ascii="Times New Roman"/>
                <w:sz w:val="18"/>
              </w:rPr>
            </w:pPr>
            <w:r w:rsidRPr="00F835F4">
              <w:rPr>
                <w:rFonts w:ascii="Times New Roman"/>
                <w:sz w:val="18"/>
              </w:rPr>
              <w:t>Method section. Immunization of mice (182- 198)</w:t>
            </w:r>
          </w:p>
        </w:tc>
      </w:tr>
      <w:tr w:rsidR="008061C6" w:rsidTr="00F835F4">
        <w:trPr>
          <w:trHeight w:val="2445"/>
        </w:trPr>
        <w:tc>
          <w:tcPr>
            <w:tcW w:w="8538" w:type="dxa"/>
            <w:tcBorders>
              <w:top w:val="single" w:sz="8" w:space="0" w:color="498683"/>
              <w:left w:val="nil"/>
              <w:bottom w:val="single" w:sz="8" w:space="0" w:color="498683"/>
              <w:right w:val="single" w:sz="8" w:space="0" w:color="498683"/>
            </w:tcBorders>
          </w:tcPr>
          <w:p w:rsidR="008061C6" w:rsidRDefault="00B41147" w:rsidP="00F835F4">
            <w:pPr>
              <w:pStyle w:val="TableParagraph"/>
              <w:tabs>
                <w:tab w:val="left" w:pos="1809"/>
                <w:tab w:val="left" w:pos="2518"/>
              </w:tabs>
              <w:spacing w:before="58" w:line="213" w:lineRule="exact"/>
              <w:ind w:left="107"/>
              <w:rPr>
                <w:sz w:val="18"/>
              </w:rPr>
            </w:pPr>
            <w:r>
              <w:rPr>
                <w:rFonts w:ascii="Times New Roman"/>
                <w:w w:val="105"/>
                <w:sz w:val="18"/>
              </w:rPr>
              <w:t>Experimental</w:t>
            </w:r>
            <w:r>
              <w:rPr>
                <w:rFonts w:ascii="Times New Roman"/>
                <w:w w:val="105"/>
                <w:sz w:val="18"/>
              </w:rPr>
              <w:tab/>
            </w:r>
            <w:r w:rsidR="008E7B5F">
              <w:rPr>
                <w:w w:val="105"/>
                <w:position w:val="1"/>
                <w:sz w:val="18"/>
              </w:rPr>
              <w:t xml:space="preserve">7            </w:t>
            </w:r>
          </w:p>
        </w:tc>
        <w:tc>
          <w:tcPr>
            <w:tcW w:w="1440" w:type="dxa"/>
            <w:tcBorders>
              <w:top w:val="single" w:sz="8" w:space="0" w:color="498683"/>
              <w:left w:val="single" w:sz="8" w:space="0" w:color="498683"/>
              <w:bottom w:val="single" w:sz="8" w:space="0" w:color="498683"/>
              <w:right w:val="nil"/>
            </w:tcBorders>
          </w:tcPr>
          <w:p w:rsidR="008061C6" w:rsidRDefault="00F835F4">
            <w:pPr>
              <w:pStyle w:val="TableParagraph"/>
              <w:rPr>
                <w:rFonts w:ascii="Times New Roman"/>
                <w:sz w:val="18"/>
              </w:rPr>
            </w:pPr>
            <w:r w:rsidRPr="00F835F4">
              <w:rPr>
                <w:rFonts w:ascii="Times New Roman"/>
                <w:sz w:val="18"/>
              </w:rPr>
              <w:t>Method section. Immunization of mice (182- 198)</w:t>
            </w:r>
          </w:p>
        </w:tc>
      </w:tr>
      <w:tr w:rsidR="008061C6" w:rsidTr="00F835F4">
        <w:trPr>
          <w:trHeight w:val="1641"/>
        </w:trPr>
        <w:tc>
          <w:tcPr>
            <w:tcW w:w="8538" w:type="dxa"/>
            <w:tcBorders>
              <w:top w:val="single" w:sz="8" w:space="0" w:color="498683"/>
              <w:left w:val="nil"/>
              <w:bottom w:val="single" w:sz="8" w:space="0" w:color="498683"/>
              <w:right w:val="single" w:sz="8" w:space="0" w:color="498683"/>
            </w:tcBorders>
          </w:tcPr>
          <w:p w:rsidR="00F835F4" w:rsidRDefault="00B41147" w:rsidP="00F835F4">
            <w:pPr>
              <w:pStyle w:val="TableParagraph"/>
              <w:tabs>
                <w:tab w:val="left" w:pos="1809"/>
                <w:tab w:val="left" w:pos="2518"/>
              </w:tabs>
              <w:spacing w:before="58" w:line="212" w:lineRule="exact"/>
              <w:ind w:left="107"/>
              <w:rPr>
                <w:w w:val="105"/>
                <w:position w:val="1"/>
                <w:sz w:val="18"/>
              </w:rPr>
            </w:pPr>
            <w:r>
              <w:rPr>
                <w:rFonts w:ascii="Times New Roman"/>
                <w:w w:val="105"/>
                <w:sz w:val="18"/>
              </w:rPr>
              <w:t>Experimental</w:t>
            </w:r>
            <w:r>
              <w:rPr>
                <w:rFonts w:ascii="Times New Roman"/>
                <w:w w:val="105"/>
                <w:sz w:val="18"/>
              </w:rPr>
              <w:tab/>
            </w:r>
            <w:r>
              <w:rPr>
                <w:w w:val="105"/>
                <w:position w:val="1"/>
                <w:sz w:val="18"/>
              </w:rPr>
              <w:t>8</w:t>
            </w:r>
            <w:r>
              <w:rPr>
                <w:w w:val="105"/>
                <w:position w:val="1"/>
                <w:sz w:val="18"/>
              </w:rPr>
              <w:tab/>
            </w:r>
          </w:p>
          <w:p w:rsidR="00F835F4" w:rsidRDefault="00F835F4" w:rsidP="00F835F4">
            <w:pPr>
              <w:pStyle w:val="TableParagraph"/>
              <w:tabs>
                <w:tab w:val="left" w:pos="1809"/>
                <w:tab w:val="left" w:pos="2518"/>
              </w:tabs>
              <w:spacing w:before="58" w:line="212" w:lineRule="exact"/>
              <w:ind w:left="107"/>
              <w:rPr>
                <w:w w:val="105"/>
                <w:position w:val="1"/>
                <w:sz w:val="18"/>
              </w:rPr>
            </w:pPr>
          </w:p>
          <w:p w:rsidR="008061C6" w:rsidRDefault="00F835F4" w:rsidP="00F835F4">
            <w:pPr>
              <w:pStyle w:val="TableParagraph"/>
              <w:tabs>
                <w:tab w:val="left" w:pos="1809"/>
                <w:tab w:val="left" w:pos="2518"/>
              </w:tabs>
              <w:spacing w:before="58" w:line="212" w:lineRule="exact"/>
              <w:ind w:left="107"/>
              <w:rPr>
                <w:sz w:val="18"/>
              </w:rPr>
            </w:pPr>
            <w:r w:rsidRPr="00F835F4">
              <w:rPr>
                <w:w w:val="105"/>
                <w:position w:val="1"/>
                <w:sz w:val="18"/>
              </w:rPr>
              <w:t xml:space="preserve">6–8-week-old female 18±2 g BALB/c inbred mice (purchased from the Research Institution of Pasteur Karaj, IR Iran) were divided into four groups of six mice each for the vaccination experiments. </w:t>
            </w:r>
          </w:p>
        </w:tc>
        <w:tc>
          <w:tcPr>
            <w:tcW w:w="1440" w:type="dxa"/>
            <w:tcBorders>
              <w:top w:val="single" w:sz="8" w:space="0" w:color="498683"/>
              <w:left w:val="single" w:sz="8" w:space="0" w:color="498683"/>
              <w:bottom w:val="single" w:sz="8" w:space="0" w:color="498683"/>
              <w:right w:val="nil"/>
            </w:tcBorders>
          </w:tcPr>
          <w:p w:rsidR="008061C6" w:rsidRDefault="00F835F4" w:rsidP="00F835F4">
            <w:pPr>
              <w:pStyle w:val="TableParagraph"/>
              <w:rPr>
                <w:rFonts w:ascii="Times New Roman"/>
                <w:sz w:val="18"/>
              </w:rPr>
            </w:pPr>
            <w:r w:rsidRPr="00F835F4">
              <w:rPr>
                <w:rFonts w:ascii="Times New Roman"/>
                <w:sz w:val="18"/>
              </w:rPr>
              <w:t>Method section. Immunization of mice (182- 18</w:t>
            </w:r>
            <w:r>
              <w:rPr>
                <w:rFonts w:ascii="Times New Roman"/>
                <w:sz w:val="18"/>
              </w:rPr>
              <w:t>4</w:t>
            </w:r>
            <w:r w:rsidRPr="00F835F4">
              <w:rPr>
                <w:rFonts w:ascii="Times New Roman"/>
                <w:sz w:val="18"/>
              </w:rPr>
              <w:t>)</w:t>
            </w:r>
          </w:p>
        </w:tc>
      </w:tr>
    </w:tbl>
    <w:p w:rsidR="008061C6" w:rsidRDefault="008061C6">
      <w:pPr>
        <w:pStyle w:val="BodyText"/>
        <w:spacing w:before="2"/>
        <w:rPr>
          <w:i/>
          <w:sz w:val="18"/>
        </w:rPr>
      </w:pPr>
    </w:p>
    <w:p w:rsidR="008061C6" w:rsidRDefault="008061C6">
      <w:pPr>
        <w:sectPr w:rsidR="008061C6">
          <w:type w:val="continuous"/>
          <w:pgSz w:w="11910" w:h="16840"/>
          <w:pgMar w:top="40" w:right="340" w:bottom="280" w:left="140" w:header="720" w:footer="720" w:gutter="0"/>
          <w:cols w:space="720"/>
        </w:sectPr>
      </w:pPr>
    </w:p>
    <w:tbl>
      <w:tblPr>
        <w:tblW w:w="0" w:type="auto"/>
        <w:tblInd w:w="1367" w:type="dxa"/>
        <w:tblBorders>
          <w:top w:val="single" w:sz="8" w:space="0" w:color="498683"/>
          <w:left w:val="single" w:sz="8" w:space="0" w:color="498683"/>
          <w:bottom w:val="single" w:sz="8" w:space="0" w:color="498683"/>
          <w:right w:val="single" w:sz="8" w:space="0" w:color="498683"/>
          <w:insideH w:val="single" w:sz="8" w:space="0" w:color="498683"/>
          <w:insideV w:val="single" w:sz="8" w:space="0" w:color="498683"/>
        </w:tblBorders>
        <w:tblLayout w:type="fixed"/>
        <w:tblCellMar>
          <w:left w:w="0" w:type="dxa"/>
          <w:right w:w="0" w:type="dxa"/>
        </w:tblCellMar>
        <w:tblLook w:val="01E0" w:firstRow="1" w:lastRow="1" w:firstColumn="1" w:lastColumn="1" w:noHBand="0" w:noVBand="0"/>
      </w:tblPr>
      <w:tblGrid>
        <w:gridCol w:w="1629"/>
        <w:gridCol w:w="620"/>
        <w:gridCol w:w="6541"/>
        <w:gridCol w:w="1144"/>
      </w:tblGrid>
      <w:tr w:rsidR="008061C6">
        <w:trPr>
          <w:trHeight w:val="2176"/>
        </w:trPr>
        <w:tc>
          <w:tcPr>
            <w:tcW w:w="1629" w:type="dxa"/>
            <w:tcBorders>
              <w:left w:val="nil"/>
              <w:right w:val="nil"/>
            </w:tcBorders>
          </w:tcPr>
          <w:p w:rsidR="008061C6" w:rsidRDefault="00B41147">
            <w:pPr>
              <w:pStyle w:val="TableParagraph"/>
              <w:spacing w:before="69" w:line="252" w:lineRule="auto"/>
              <w:ind w:left="103"/>
              <w:rPr>
                <w:rFonts w:ascii="Times New Roman"/>
                <w:sz w:val="18"/>
              </w:rPr>
            </w:pPr>
            <w:r>
              <w:rPr>
                <w:rFonts w:ascii="Times New Roman"/>
                <w:w w:val="115"/>
                <w:sz w:val="18"/>
              </w:rPr>
              <w:lastRenderedPageBreak/>
              <w:t>Housing and husbandry</w:t>
            </w:r>
          </w:p>
        </w:tc>
        <w:tc>
          <w:tcPr>
            <w:tcW w:w="620" w:type="dxa"/>
            <w:tcBorders>
              <w:left w:val="nil"/>
              <w:right w:val="nil"/>
            </w:tcBorders>
          </w:tcPr>
          <w:p w:rsidR="008061C6" w:rsidRDefault="00B41147">
            <w:pPr>
              <w:pStyle w:val="TableParagraph"/>
              <w:spacing w:before="61"/>
              <w:ind w:left="175"/>
              <w:rPr>
                <w:sz w:val="18"/>
              </w:rPr>
            </w:pPr>
            <w:r>
              <w:rPr>
                <w:w w:val="106"/>
                <w:sz w:val="18"/>
              </w:rPr>
              <w:t>9</w:t>
            </w:r>
          </w:p>
        </w:tc>
        <w:tc>
          <w:tcPr>
            <w:tcW w:w="6541" w:type="dxa"/>
            <w:tcBorders>
              <w:left w:val="nil"/>
            </w:tcBorders>
          </w:tcPr>
          <w:p w:rsidR="008061C6" w:rsidRDefault="00F835F4" w:rsidP="00F835F4">
            <w:pPr>
              <w:pStyle w:val="TableParagraph"/>
              <w:tabs>
                <w:tab w:val="left" w:pos="447"/>
              </w:tabs>
              <w:spacing w:before="63"/>
              <w:ind w:left="314" w:right="460"/>
              <w:rPr>
                <w:sz w:val="18"/>
              </w:rPr>
            </w:pPr>
            <w:r w:rsidRPr="00F835F4">
              <w:rPr>
                <w:w w:val="105"/>
                <w:sz w:val="18"/>
              </w:rPr>
              <w:t>The mice were housed in standard stainless cages at 23–25 ° C and 60–70 % humidity, with a 12 h light/dark cycle, for a week before the experience</w:t>
            </w:r>
            <w:r>
              <w:rPr>
                <w:w w:val="105"/>
                <w:sz w:val="18"/>
              </w:rPr>
              <w:t>.</w:t>
            </w:r>
            <w:r>
              <w:t xml:space="preserve"> </w:t>
            </w:r>
            <w:r w:rsidRPr="00F835F4">
              <w:rPr>
                <w:w w:val="105"/>
                <w:sz w:val="18"/>
              </w:rPr>
              <w:t>The mice were given free access to a standard diet and water.</w:t>
            </w:r>
          </w:p>
        </w:tc>
        <w:tc>
          <w:tcPr>
            <w:tcW w:w="1144" w:type="dxa"/>
            <w:tcBorders>
              <w:right w:val="nil"/>
            </w:tcBorders>
          </w:tcPr>
          <w:p w:rsidR="008061C6" w:rsidRDefault="00F835F4">
            <w:pPr>
              <w:pStyle w:val="TableParagraph"/>
              <w:rPr>
                <w:rFonts w:ascii="Times New Roman"/>
                <w:sz w:val="16"/>
              </w:rPr>
            </w:pPr>
            <w:r>
              <w:rPr>
                <w:rFonts w:ascii="Times New Roman"/>
                <w:sz w:val="16"/>
              </w:rPr>
              <w:t xml:space="preserve">  </w:t>
            </w:r>
          </w:p>
          <w:p w:rsidR="00F835F4" w:rsidRDefault="00F835F4" w:rsidP="00F835F4">
            <w:pPr>
              <w:pStyle w:val="TableParagraph"/>
              <w:rPr>
                <w:rFonts w:ascii="Times New Roman"/>
                <w:sz w:val="16"/>
              </w:rPr>
            </w:pPr>
            <w:r w:rsidRPr="00F835F4">
              <w:rPr>
                <w:rFonts w:ascii="Times New Roman"/>
                <w:sz w:val="16"/>
              </w:rPr>
              <w:t>Method section. Immunization of mice (18</w:t>
            </w:r>
            <w:r>
              <w:rPr>
                <w:rFonts w:ascii="Times New Roman"/>
                <w:sz w:val="16"/>
              </w:rPr>
              <w:t>4</w:t>
            </w:r>
            <w:r w:rsidRPr="00F835F4">
              <w:rPr>
                <w:rFonts w:ascii="Times New Roman"/>
                <w:sz w:val="16"/>
              </w:rPr>
              <w:t>- 18</w:t>
            </w:r>
            <w:r>
              <w:rPr>
                <w:rFonts w:ascii="Times New Roman"/>
                <w:sz w:val="16"/>
              </w:rPr>
              <w:t>6</w:t>
            </w:r>
            <w:r w:rsidRPr="00F835F4">
              <w:rPr>
                <w:rFonts w:ascii="Times New Roman"/>
                <w:sz w:val="16"/>
              </w:rPr>
              <w:t>)</w:t>
            </w:r>
          </w:p>
        </w:tc>
      </w:tr>
      <w:tr w:rsidR="008061C6">
        <w:trPr>
          <w:trHeight w:val="1492"/>
        </w:trPr>
        <w:tc>
          <w:tcPr>
            <w:tcW w:w="1629" w:type="dxa"/>
            <w:tcBorders>
              <w:left w:val="nil"/>
              <w:right w:val="nil"/>
            </w:tcBorders>
          </w:tcPr>
          <w:p w:rsidR="008061C6" w:rsidRDefault="00B41147">
            <w:pPr>
              <w:pStyle w:val="TableParagraph"/>
              <w:spacing w:before="66"/>
              <w:ind w:left="103"/>
              <w:rPr>
                <w:rFonts w:ascii="Times New Roman"/>
                <w:sz w:val="18"/>
              </w:rPr>
            </w:pPr>
            <w:r>
              <w:rPr>
                <w:rFonts w:ascii="Times New Roman"/>
                <w:w w:val="110"/>
                <w:sz w:val="18"/>
              </w:rPr>
              <w:t>Sample size</w:t>
            </w:r>
          </w:p>
        </w:tc>
        <w:tc>
          <w:tcPr>
            <w:tcW w:w="620" w:type="dxa"/>
            <w:tcBorders>
              <w:left w:val="nil"/>
              <w:right w:val="nil"/>
            </w:tcBorders>
          </w:tcPr>
          <w:p w:rsidR="008061C6" w:rsidRDefault="00B41147">
            <w:pPr>
              <w:pStyle w:val="TableParagraph"/>
              <w:spacing w:before="58"/>
              <w:ind w:left="175"/>
              <w:rPr>
                <w:sz w:val="18"/>
              </w:rPr>
            </w:pPr>
            <w:r>
              <w:rPr>
                <w:w w:val="105"/>
                <w:sz w:val="18"/>
              </w:rPr>
              <w:t>10</w:t>
            </w:r>
          </w:p>
        </w:tc>
        <w:tc>
          <w:tcPr>
            <w:tcW w:w="6541" w:type="dxa"/>
            <w:tcBorders>
              <w:left w:val="nil"/>
            </w:tcBorders>
          </w:tcPr>
          <w:p w:rsidR="008061C6" w:rsidRDefault="00C16355" w:rsidP="00C16355">
            <w:pPr>
              <w:pStyle w:val="TableParagraph"/>
              <w:tabs>
                <w:tab w:val="left" w:pos="447"/>
              </w:tabs>
              <w:spacing w:before="64" w:line="242" w:lineRule="auto"/>
              <w:ind w:left="314" w:right="351"/>
              <w:rPr>
                <w:sz w:val="18"/>
              </w:rPr>
            </w:pPr>
            <w:r w:rsidRPr="00C16355">
              <w:rPr>
                <w:w w:val="105"/>
                <w:sz w:val="18"/>
              </w:rPr>
              <w:t>6–8-week-old female 18±2 g BALB/c inbred mice (purchased from the Research Institution of Pasteur Karaj, IR Iran) were divided into four groups of six mice each for the vaccination experiments.</w:t>
            </w:r>
          </w:p>
        </w:tc>
        <w:tc>
          <w:tcPr>
            <w:tcW w:w="1144" w:type="dxa"/>
            <w:tcBorders>
              <w:right w:val="nil"/>
            </w:tcBorders>
          </w:tcPr>
          <w:p w:rsidR="008061C6" w:rsidRDefault="008061C6">
            <w:pPr>
              <w:pStyle w:val="TableParagraph"/>
              <w:rPr>
                <w:rFonts w:ascii="Times New Roman"/>
                <w:sz w:val="16"/>
              </w:rPr>
            </w:pPr>
          </w:p>
          <w:p w:rsidR="00C16355" w:rsidRDefault="00C16355">
            <w:pPr>
              <w:pStyle w:val="TableParagraph"/>
              <w:rPr>
                <w:rFonts w:ascii="Times New Roman"/>
                <w:sz w:val="16"/>
              </w:rPr>
            </w:pPr>
            <w:r>
              <w:rPr>
                <w:rFonts w:ascii="Times New Roman"/>
                <w:sz w:val="16"/>
              </w:rPr>
              <w:t>Methods section, Immunization of mice (Line 183-184)</w:t>
            </w:r>
          </w:p>
        </w:tc>
      </w:tr>
      <w:tr w:rsidR="008061C6">
        <w:trPr>
          <w:trHeight w:val="1012"/>
        </w:trPr>
        <w:tc>
          <w:tcPr>
            <w:tcW w:w="1629" w:type="dxa"/>
            <w:tcBorders>
              <w:left w:val="nil"/>
              <w:right w:val="nil"/>
            </w:tcBorders>
          </w:tcPr>
          <w:p w:rsidR="008061C6" w:rsidRDefault="00B41147">
            <w:pPr>
              <w:pStyle w:val="TableParagraph"/>
              <w:spacing w:before="66" w:line="252" w:lineRule="auto"/>
              <w:ind w:left="103" w:right="439"/>
              <w:rPr>
                <w:rFonts w:ascii="Times New Roman"/>
                <w:sz w:val="18"/>
              </w:rPr>
            </w:pPr>
            <w:r>
              <w:rPr>
                <w:rFonts w:ascii="Times New Roman"/>
                <w:w w:val="115"/>
                <w:sz w:val="18"/>
              </w:rPr>
              <w:t xml:space="preserve">Allocating animals to </w:t>
            </w:r>
            <w:r>
              <w:rPr>
                <w:rFonts w:ascii="Times New Roman"/>
                <w:w w:val="110"/>
                <w:sz w:val="18"/>
              </w:rPr>
              <w:t xml:space="preserve">experimental </w:t>
            </w:r>
            <w:r>
              <w:rPr>
                <w:rFonts w:ascii="Times New Roman"/>
                <w:w w:val="115"/>
                <w:sz w:val="18"/>
              </w:rPr>
              <w:t>groups</w:t>
            </w:r>
          </w:p>
        </w:tc>
        <w:tc>
          <w:tcPr>
            <w:tcW w:w="620" w:type="dxa"/>
            <w:tcBorders>
              <w:left w:val="nil"/>
              <w:right w:val="nil"/>
            </w:tcBorders>
          </w:tcPr>
          <w:p w:rsidR="008061C6" w:rsidRDefault="00B41147">
            <w:pPr>
              <w:pStyle w:val="TableParagraph"/>
              <w:spacing w:before="58"/>
              <w:ind w:left="175"/>
              <w:rPr>
                <w:sz w:val="18"/>
              </w:rPr>
            </w:pPr>
            <w:r>
              <w:rPr>
                <w:w w:val="105"/>
                <w:sz w:val="18"/>
              </w:rPr>
              <w:t>11</w:t>
            </w:r>
          </w:p>
        </w:tc>
        <w:tc>
          <w:tcPr>
            <w:tcW w:w="6541" w:type="dxa"/>
            <w:tcBorders>
              <w:left w:val="nil"/>
            </w:tcBorders>
          </w:tcPr>
          <w:p w:rsidR="008061C6" w:rsidRDefault="00767091" w:rsidP="00767091">
            <w:pPr>
              <w:pStyle w:val="TableParagraph"/>
              <w:tabs>
                <w:tab w:val="left" w:pos="454"/>
              </w:tabs>
              <w:spacing w:before="64"/>
              <w:ind w:left="314" w:right="521"/>
              <w:rPr>
                <w:sz w:val="18"/>
              </w:rPr>
            </w:pPr>
            <w:r w:rsidRPr="00157C26">
              <w:rPr>
                <w:rFonts w:asciiTheme="majorBidi" w:hAnsiTheme="majorBidi" w:cstheme="majorBidi"/>
                <w:sz w:val="24"/>
                <w:szCs w:val="24"/>
              </w:rPr>
              <w:t>6–8-</w:t>
            </w:r>
            <w:r w:rsidRPr="00157C26">
              <w:rPr>
                <w:rFonts w:asciiTheme="majorBidi" w:hAnsiTheme="majorBidi" w:cstheme="majorBidi"/>
                <w:spacing w:val="-2"/>
                <w:sz w:val="24"/>
                <w:szCs w:val="24"/>
              </w:rPr>
              <w:t>w</w:t>
            </w:r>
            <w:r w:rsidRPr="00157C26">
              <w:rPr>
                <w:rFonts w:asciiTheme="majorBidi" w:hAnsiTheme="majorBidi" w:cstheme="majorBidi"/>
                <w:spacing w:val="1"/>
                <w:sz w:val="24"/>
                <w:szCs w:val="24"/>
              </w:rPr>
              <w:t>e</w:t>
            </w:r>
            <w:r w:rsidRPr="00157C26">
              <w:rPr>
                <w:rFonts w:asciiTheme="majorBidi" w:hAnsiTheme="majorBidi" w:cstheme="majorBidi"/>
                <w:spacing w:val="-1"/>
                <w:sz w:val="24"/>
                <w:szCs w:val="24"/>
              </w:rPr>
              <w:t>e</w:t>
            </w:r>
            <w:r w:rsidRPr="00157C26">
              <w:rPr>
                <w:rFonts w:asciiTheme="majorBidi" w:hAnsiTheme="majorBidi" w:cstheme="majorBidi"/>
                <w:sz w:val="24"/>
                <w:szCs w:val="24"/>
              </w:rPr>
              <w:t>k-</w:t>
            </w:r>
            <w:r w:rsidRPr="00157C26">
              <w:rPr>
                <w:rFonts w:asciiTheme="majorBidi" w:hAnsiTheme="majorBidi" w:cstheme="majorBidi"/>
                <w:spacing w:val="-1"/>
                <w:sz w:val="24"/>
                <w:szCs w:val="24"/>
              </w:rPr>
              <w:t>o</w:t>
            </w:r>
            <w:r w:rsidRPr="00157C26">
              <w:rPr>
                <w:rFonts w:asciiTheme="majorBidi" w:hAnsiTheme="majorBidi" w:cstheme="majorBidi"/>
                <w:sz w:val="24"/>
                <w:szCs w:val="24"/>
              </w:rPr>
              <w:t>ld</w:t>
            </w:r>
            <w:r w:rsidRPr="00157C26">
              <w:rPr>
                <w:rFonts w:asciiTheme="majorBidi" w:hAnsiTheme="majorBidi" w:cstheme="majorBidi"/>
                <w:spacing w:val="-18"/>
                <w:sz w:val="24"/>
                <w:szCs w:val="24"/>
              </w:rPr>
              <w:t xml:space="preserve"> </w:t>
            </w:r>
            <w:r w:rsidRPr="00157C26">
              <w:rPr>
                <w:rFonts w:asciiTheme="majorBidi" w:hAnsiTheme="majorBidi" w:cstheme="majorBidi"/>
                <w:spacing w:val="-2"/>
                <w:sz w:val="24"/>
                <w:szCs w:val="24"/>
              </w:rPr>
              <w:t>f</w:t>
            </w:r>
            <w:r w:rsidRPr="00157C26">
              <w:rPr>
                <w:rFonts w:asciiTheme="majorBidi" w:hAnsiTheme="majorBidi" w:cstheme="majorBidi"/>
                <w:sz w:val="24"/>
                <w:szCs w:val="24"/>
              </w:rPr>
              <w:t>e</w:t>
            </w:r>
            <w:r w:rsidRPr="00157C26">
              <w:rPr>
                <w:rFonts w:asciiTheme="majorBidi" w:hAnsiTheme="majorBidi" w:cstheme="majorBidi"/>
                <w:spacing w:val="-1"/>
                <w:sz w:val="24"/>
                <w:szCs w:val="24"/>
              </w:rPr>
              <w:t>m</w:t>
            </w:r>
            <w:r w:rsidRPr="00157C26">
              <w:rPr>
                <w:rFonts w:asciiTheme="majorBidi" w:hAnsiTheme="majorBidi" w:cstheme="majorBidi"/>
                <w:spacing w:val="1"/>
                <w:sz w:val="24"/>
                <w:szCs w:val="24"/>
              </w:rPr>
              <w:t>a</w:t>
            </w:r>
            <w:r w:rsidRPr="00157C26">
              <w:rPr>
                <w:rFonts w:asciiTheme="majorBidi" w:hAnsiTheme="majorBidi" w:cstheme="majorBidi"/>
                <w:sz w:val="24"/>
                <w:szCs w:val="24"/>
              </w:rPr>
              <w:t>le</w:t>
            </w:r>
            <w:r w:rsidRPr="00157C26">
              <w:rPr>
                <w:rFonts w:asciiTheme="majorBidi" w:hAnsiTheme="majorBidi" w:cstheme="majorBidi"/>
                <w:spacing w:val="-19"/>
                <w:sz w:val="24"/>
                <w:szCs w:val="24"/>
              </w:rPr>
              <w:t xml:space="preserve"> </w:t>
            </w:r>
            <w:r w:rsidRPr="00157C26">
              <w:rPr>
                <w:rFonts w:asciiTheme="majorBidi" w:hAnsiTheme="majorBidi" w:cstheme="majorBidi"/>
                <w:sz w:val="24"/>
                <w:szCs w:val="24"/>
              </w:rPr>
              <w:t>18±2 g</w:t>
            </w:r>
            <w:r w:rsidRPr="00157C26">
              <w:rPr>
                <w:rFonts w:asciiTheme="majorBidi" w:hAnsiTheme="majorBidi" w:cstheme="majorBidi"/>
                <w:spacing w:val="-19"/>
                <w:sz w:val="24"/>
                <w:szCs w:val="24"/>
              </w:rPr>
              <w:t xml:space="preserve"> </w:t>
            </w:r>
            <w:r w:rsidRPr="00157C26">
              <w:rPr>
                <w:rFonts w:asciiTheme="majorBidi" w:hAnsiTheme="majorBidi" w:cstheme="majorBidi"/>
                <w:spacing w:val="-5"/>
                <w:w w:val="92"/>
                <w:sz w:val="24"/>
                <w:szCs w:val="24"/>
              </w:rPr>
              <w:t>B</w:t>
            </w:r>
            <w:r w:rsidRPr="00157C26">
              <w:rPr>
                <w:rFonts w:asciiTheme="majorBidi" w:hAnsiTheme="majorBidi" w:cstheme="majorBidi"/>
                <w:w w:val="92"/>
                <w:sz w:val="24"/>
                <w:szCs w:val="24"/>
              </w:rPr>
              <w:t>ALB/c</w:t>
            </w:r>
            <w:r w:rsidRPr="00157C26">
              <w:rPr>
                <w:rFonts w:asciiTheme="majorBidi" w:hAnsiTheme="majorBidi" w:cstheme="majorBidi"/>
                <w:spacing w:val="-3"/>
                <w:w w:val="92"/>
                <w:sz w:val="24"/>
                <w:szCs w:val="24"/>
              </w:rPr>
              <w:t xml:space="preserve"> </w:t>
            </w:r>
            <w:r w:rsidRPr="00157C26">
              <w:rPr>
                <w:rFonts w:asciiTheme="majorBidi" w:hAnsiTheme="majorBidi" w:cstheme="majorBidi"/>
                <w:sz w:val="24"/>
                <w:szCs w:val="24"/>
              </w:rPr>
              <w:t>i</w:t>
            </w:r>
            <w:r w:rsidRPr="00157C26">
              <w:rPr>
                <w:rFonts w:asciiTheme="majorBidi" w:hAnsiTheme="majorBidi" w:cstheme="majorBidi"/>
                <w:spacing w:val="-2"/>
                <w:sz w:val="24"/>
                <w:szCs w:val="24"/>
              </w:rPr>
              <w:t>nb</w:t>
            </w:r>
            <w:r w:rsidRPr="00157C26">
              <w:rPr>
                <w:rFonts w:asciiTheme="majorBidi" w:hAnsiTheme="majorBidi" w:cstheme="majorBidi"/>
                <w:spacing w:val="-3"/>
                <w:sz w:val="24"/>
                <w:szCs w:val="24"/>
              </w:rPr>
              <w:t>r</w:t>
            </w:r>
            <w:r w:rsidRPr="00157C26">
              <w:rPr>
                <w:rFonts w:asciiTheme="majorBidi" w:hAnsiTheme="majorBidi" w:cstheme="majorBidi"/>
                <w:spacing w:val="1"/>
                <w:sz w:val="24"/>
                <w:szCs w:val="24"/>
              </w:rPr>
              <w:t>e</w:t>
            </w:r>
            <w:r w:rsidRPr="00157C26">
              <w:rPr>
                <w:rFonts w:asciiTheme="majorBidi" w:hAnsiTheme="majorBidi" w:cstheme="majorBidi"/>
                <w:sz w:val="24"/>
                <w:szCs w:val="24"/>
              </w:rPr>
              <w:t>d</w:t>
            </w:r>
            <w:r w:rsidRPr="00157C26">
              <w:rPr>
                <w:rFonts w:asciiTheme="majorBidi" w:hAnsiTheme="majorBidi" w:cstheme="majorBidi"/>
                <w:spacing w:val="3"/>
                <w:sz w:val="24"/>
                <w:szCs w:val="24"/>
              </w:rPr>
              <w:t xml:space="preserve"> </w:t>
            </w:r>
            <w:r w:rsidRPr="00157C26">
              <w:rPr>
                <w:rFonts w:asciiTheme="majorBidi" w:hAnsiTheme="majorBidi" w:cstheme="majorBidi"/>
                <w:sz w:val="24"/>
                <w:szCs w:val="24"/>
              </w:rPr>
              <w:t>mice</w:t>
            </w:r>
            <w:r>
              <w:rPr>
                <w:rFonts w:asciiTheme="majorBidi" w:hAnsiTheme="majorBidi" w:cstheme="majorBidi"/>
                <w:sz w:val="24"/>
                <w:szCs w:val="24"/>
              </w:rPr>
              <w:t xml:space="preserve"> allocated for immunization in four groups, six mice in each group.</w:t>
            </w:r>
          </w:p>
        </w:tc>
        <w:tc>
          <w:tcPr>
            <w:tcW w:w="1144" w:type="dxa"/>
            <w:tcBorders>
              <w:right w:val="nil"/>
            </w:tcBorders>
          </w:tcPr>
          <w:p w:rsidR="008061C6" w:rsidRDefault="00767091">
            <w:pPr>
              <w:pStyle w:val="TableParagraph"/>
              <w:rPr>
                <w:rFonts w:ascii="Times New Roman"/>
                <w:sz w:val="16"/>
              </w:rPr>
            </w:pPr>
            <w:r w:rsidRPr="00767091">
              <w:rPr>
                <w:rFonts w:ascii="Times New Roman"/>
                <w:sz w:val="16"/>
              </w:rPr>
              <w:t>Methods section, Immunization of mice (Line 183-184)</w:t>
            </w:r>
          </w:p>
        </w:tc>
      </w:tr>
      <w:tr w:rsidR="008061C6">
        <w:trPr>
          <w:trHeight w:val="555"/>
        </w:trPr>
        <w:tc>
          <w:tcPr>
            <w:tcW w:w="1629" w:type="dxa"/>
            <w:tcBorders>
              <w:left w:val="nil"/>
              <w:right w:val="nil"/>
            </w:tcBorders>
          </w:tcPr>
          <w:p w:rsidR="008061C6" w:rsidRDefault="00B41147">
            <w:pPr>
              <w:pStyle w:val="TableParagraph"/>
              <w:spacing w:before="69" w:line="249" w:lineRule="auto"/>
              <w:ind w:left="103" w:right="439"/>
              <w:rPr>
                <w:rFonts w:ascii="Times New Roman"/>
                <w:sz w:val="18"/>
              </w:rPr>
            </w:pPr>
            <w:r>
              <w:rPr>
                <w:rFonts w:ascii="Times New Roman"/>
                <w:w w:val="110"/>
                <w:sz w:val="18"/>
              </w:rPr>
              <w:t xml:space="preserve">Experimental </w:t>
            </w:r>
            <w:r>
              <w:rPr>
                <w:rFonts w:ascii="Times New Roman"/>
                <w:w w:val="115"/>
                <w:sz w:val="18"/>
              </w:rPr>
              <w:t>outcomes</w:t>
            </w:r>
          </w:p>
        </w:tc>
        <w:tc>
          <w:tcPr>
            <w:tcW w:w="620" w:type="dxa"/>
            <w:tcBorders>
              <w:left w:val="nil"/>
              <w:right w:val="nil"/>
            </w:tcBorders>
          </w:tcPr>
          <w:p w:rsidR="008061C6" w:rsidRDefault="00B41147">
            <w:pPr>
              <w:pStyle w:val="TableParagraph"/>
              <w:spacing w:before="61"/>
              <w:ind w:left="175"/>
              <w:rPr>
                <w:sz w:val="18"/>
              </w:rPr>
            </w:pPr>
            <w:r>
              <w:rPr>
                <w:w w:val="105"/>
                <w:sz w:val="18"/>
              </w:rPr>
              <w:t>12</w:t>
            </w:r>
          </w:p>
        </w:tc>
        <w:tc>
          <w:tcPr>
            <w:tcW w:w="6541" w:type="dxa"/>
            <w:tcBorders>
              <w:left w:val="nil"/>
            </w:tcBorders>
          </w:tcPr>
          <w:p w:rsidR="008061C6" w:rsidRDefault="00B84927">
            <w:pPr>
              <w:pStyle w:val="TableParagraph"/>
              <w:spacing w:before="61"/>
              <w:ind w:left="264" w:right="98"/>
              <w:rPr>
                <w:sz w:val="18"/>
              </w:rPr>
            </w:pPr>
            <w:r w:rsidRPr="00B84927">
              <w:rPr>
                <w:sz w:val="18"/>
              </w:rPr>
              <w:t>After two weeks of each immunization (immunization days were 0, 7, 14 and 28) 500 µl of peripheral blood was collected from the tail vein of five mice in each group. Collected sera were stored at −20 °C followed by centrifugation (3000 r.p.m. for 5 min) of peripheral blood</w:t>
            </w:r>
          </w:p>
        </w:tc>
        <w:tc>
          <w:tcPr>
            <w:tcW w:w="1144" w:type="dxa"/>
            <w:tcBorders>
              <w:right w:val="nil"/>
            </w:tcBorders>
          </w:tcPr>
          <w:p w:rsidR="008061C6" w:rsidRDefault="00B84927" w:rsidP="00B84927">
            <w:pPr>
              <w:pStyle w:val="TableParagraph"/>
              <w:rPr>
                <w:rFonts w:ascii="Times New Roman"/>
                <w:sz w:val="16"/>
              </w:rPr>
            </w:pPr>
            <w:r w:rsidRPr="00B84927">
              <w:rPr>
                <w:rFonts w:ascii="Times New Roman"/>
                <w:sz w:val="16"/>
              </w:rPr>
              <w:t>Methods section, Immunization of mice (Line 1</w:t>
            </w:r>
            <w:r>
              <w:rPr>
                <w:rFonts w:ascii="Times New Roman"/>
                <w:sz w:val="16"/>
              </w:rPr>
              <w:t>91</w:t>
            </w:r>
            <w:r w:rsidRPr="00B84927">
              <w:rPr>
                <w:rFonts w:ascii="Times New Roman"/>
                <w:sz w:val="16"/>
              </w:rPr>
              <w:t>-1</w:t>
            </w:r>
            <w:r>
              <w:rPr>
                <w:rFonts w:ascii="Times New Roman"/>
                <w:sz w:val="16"/>
              </w:rPr>
              <w:t>9</w:t>
            </w:r>
            <w:r w:rsidRPr="00B84927">
              <w:rPr>
                <w:rFonts w:ascii="Times New Roman"/>
                <w:sz w:val="16"/>
              </w:rPr>
              <w:t>4)</w:t>
            </w:r>
          </w:p>
        </w:tc>
      </w:tr>
      <w:tr w:rsidR="008061C6">
        <w:trPr>
          <w:trHeight w:val="1283"/>
        </w:trPr>
        <w:tc>
          <w:tcPr>
            <w:tcW w:w="1629" w:type="dxa"/>
            <w:tcBorders>
              <w:left w:val="nil"/>
              <w:bottom w:val="nil"/>
              <w:right w:val="nil"/>
            </w:tcBorders>
          </w:tcPr>
          <w:p w:rsidR="008061C6" w:rsidRDefault="00B41147">
            <w:pPr>
              <w:pStyle w:val="TableParagraph"/>
              <w:spacing w:before="69" w:line="249" w:lineRule="auto"/>
              <w:ind w:left="103" w:right="689"/>
              <w:rPr>
                <w:rFonts w:ascii="Times New Roman"/>
                <w:sz w:val="18"/>
              </w:rPr>
            </w:pPr>
            <w:r>
              <w:rPr>
                <w:rFonts w:ascii="Times New Roman"/>
                <w:w w:val="115"/>
                <w:sz w:val="18"/>
              </w:rPr>
              <w:t>Statistical methods</w:t>
            </w:r>
          </w:p>
        </w:tc>
        <w:tc>
          <w:tcPr>
            <w:tcW w:w="620" w:type="dxa"/>
            <w:tcBorders>
              <w:left w:val="nil"/>
              <w:bottom w:val="nil"/>
              <w:right w:val="nil"/>
            </w:tcBorders>
          </w:tcPr>
          <w:p w:rsidR="008061C6" w:rsidRDefault="00B41147">
            <w:pPr>
              <w:pStyle w:val="TableParagraph"/>
              <w:spacing w:before="61"/>
              <w:ind w:left="175"/>
              <w:rPr>
                <w:sz w:val="18"/>
              </w:rPr>
            </w:pPr>
            <w:r>
              <w:rPr>
                <w:w w:val="105"/>
                <w:sz w:val="18"/>
              </w:rPr>
              <w:t>13</w:t>
            </w:r>
          </w:p>
        </w:tc>
        <w:tc>
          <w:tcPr>
            <w:tcW w:w="6541" w:type="dxa"/>
            <w:tcBorders>
              <w:left w:val="nil"/>
              <w:bottom w:val="nil"/>
            </w:tcBorders>
          </w:tcPr>
          <w:p w:rsidR="008061C6" w:rsidRDefault="00C07D67" w:rsidP="00C07D67">
            <w:pPr>
              <w:pStyle w:val="TableParagraph"/>
              <w:tabs>
                <w:tab w:val="left" w:pos="447"/>
              </w:tabs>
              <w:spacing w:before="64"/>
              <w:ind w:right="876"/>
              <w:rPr>
                <w:sz w:val="18"/>
              </w:rPr>
            </w:pPr>
            <w:r>
              <w:rPr>
                <w:w w:val="105"/>
                <w:sz w:val="18"/>
              </w:rPr>
              <w:t xml:space="preserve">      </w:t>
            </w:r>
            <w:r w:rsidRPr="00C07D67">
              <w:rPr>
                <w:w w:val="105"/>
                <w:sz w:val="18"/>
              </w:rPr>
              <w:t xml:space="preserve">Utilizing multiple- group analysis of variance (ANOVA), </w:t>
            </w:r>
            <w:r>
              <w:rPr>
                <w:w w:val="105"/>
                <w:sz w:val="18"/>
              </w:rPr>
              <w:t xml:space="preserve">   </w:t>
            </w:r>
            <w:r w:rsidRPr="00C07D67">
              <w:rPr>
                <w:w w:val="105"/>
                <w:sz w:val="18"/>
              </w:rPr>
              <w:t>statistical analysis of results was accomplished and a P-value&lt;0.05 was considered significant.</w:t>
            </w:r>
          </w:p>
        </w:tc>
        <w:tc>
          <w:tcPr>
            <w:tcW w:w="1144" w:type="dxa"/>
            <w:tcBorders>
              <w:bottom w:val="nil"/>
              <w:right w:val="nil"/>
            </w:tcBorders>
          </w:tcPr>
          <w:p w:rsidR="008061C6" w:rsidRDefault="00C07D67" w:rsidP="00C07D67">
            <w:pPr>
              <w:pStyle w:val="TableParagraph"/>
              <w:rPr>
                <w:rFonts w:ascii="Times New Roman"/>
                <w:sz w:val="16"/>
              </w:rPr>
            </w:pPr>
            <w:r>
              <w:rPr>
                <w:rFonts w:ascii="Times New Roman"/>
                <w:sz w:val="16"/>
              </w:rPr>
              <w:t>Methods section, Statistical analysis (Line 236- 237)</w:t>
            </w:r>
          </w:p>
        </w:tc>
      </w:tr>
      <w:tr w:rsidR="008061C6">
        <w:trPr>
          <w:trHeight w:val="377"/>
        </w:trPr>
        <w:tc>
          <w:tcPr>
            <w:tcW w:w="8790" w:type="dxa"/>
            <w:gridSpan w:val="3"/>
            <w:tcBorders>
              <w:top w:val="nil"/>
              <w:left w:val="nil"/>
              <w:bottom w:val="nil"/>
              <w:right w:val="nil"/>
            </w:tcBorders>
            <w:shd w:val="clear" w:color="auto" w:fill="92AC4F"/>
          </w:tcPr>
          <w:p w:rsidR="008061C6" w:rsidRDefault="00B41147">
            <w:pPr>
              <w:pStyle w:val="TableParagraph"/>
              <w:spacing w:before="86"/>
              <w:ind w:left="103"/>
              <w:rPr>
                <w:rFonts w:ascii="Times New Roman"/>
                <w:sz w:val="18"/>
              </w:rPr>
            </w:pPr>
            <w:r>
              <w:rPr>
                <w:rFonts w:ascii="Times New Roman"/>
                <w:color w:val="FFFFFF"/>
                <w:w w:val="110"/>
                <w:sz w:val="18"/>
              </w:rPr>
              <w:t>RESULTS</w:t>
            </w:r>
          </w:p>
        </w:tc>
        <w:tc>
          <w:tcPr>
            <w:tcW w:w="1144" w:type="dxa"/>
            <w:tcBorders>
              <w:top w:val="nil"/>
              <w:left w:val="nil"/>
              <w:bottom w:val="nil"/>
              <w:right w:val="nil"/>
            </w:tcBorders>
            <w:shd w:val="clear" w:color="auto" w:fill="92AC4F"/>
          </w:tcPr>
          <w:p w:rsidR="008061C6" w:rsidRDefault="008061C6">
            <w:pPr>
              <w:pStyle w:val="TableParagraph"/>
              <w:rPr>
                <w:rFonts w:ascii="Times New Roman"/>
                <w:sz w:val="16"/>
              </w:rPr>
            </w:pPr>
          </w:p>
        </w:tc>
      </w:tr>
      <w:tr w:rsidR="008061C6">
        <w:trPr>
          <w:trHeight w:val="745"/>
        </w:trPr>
        <w:tc>
          <w:tcPr>
            <w:tcW w:w="1629" w:type="dxa"/>
            <w:tcBorders>
              <w:top w:val="nil"/>
              <w:left w:val="nil"/>
              <w:bottom w:val="single" w:sz="8" w:space="0" w:color="92AC4F"/>
              <w:right w:val="nil"/>
            </w:tcBorders>
          </w:tcPr>
          <w:p w:rsidR="008061C6" w:rsidRDefault="00B41147">
            <w:pPr>
              <w:pStyle w:val="TableParagraph"/>
              <w:spacing w:before="67"/>
              <w:ind w:left="103"/>
              <w:rPr>
                <w:rFonts w:ascii="Times New Roman"/>
                <w:sz w:val="18"/>
              </w:rPr>
            </w:pPr>
            <w:r>
              <w:rPr>
                <w:rFonts w:ascii="Times New Roman"/>
                <w:w w:val="115"/>
                <w:sz w:val="18"/>
              </w:rPr>
              <w:t>Baseline data</w:t>
            </w:r>
          </w:p>
        </w:tc>
        <w:tc>
          <w:tcPr>
            <w:tcW w:w="620" w:type="dxa"/>
            <w:tcBorders>
              <w:top w:val="nil"/>
              <w:left w:val="nil"/>
              <w:bottom w:val="single" w:sz="8" w:space="0" w:color="92AC4F"/>
              <w:right w:val="nil"/>
            </w:tcBorders>
          </w:tcPr>
          <w:p w:rsidR="008061C6" w:rsidRDefault="00B41147">
            <w:pPr>
              <w:pStyle w:val="TableParagraph"/>
              <w:spacing w:before="59"/>
              <w:ind w:left="175"/>
              <w:rPr>
                <w:sz w:val="18"/>
              </w:rPr>
            </w:pPr>
            <w:r>
              <w:rPr>
                <w:w w:val="105"/>
                <w:sz w:val="18"/>
              </w:rPr>
              <w:t>14</w:t>
            </w:r>
          </w:p>
        </w:tc>
        <w:tc>
          <w:tcPr>
            <w:tcW w:w="6541" w:type="dxa"/>
            <w:tcBorders>
              <w:top w:val="nil"/>
              <w:left w:val="nil"/>
              <w:bottom w:val="single" w:sz="8" w:space="0" w:color="92AC4F"/>
              <w:right w:val="single" w:sz="8" w:space="0" w:color="92AC4F"/>
            </w:tcBorders>
          </w:tcPr>
          <w:p w:rsidR="008061C6" w:rsidRDefault="00B41147">
            <w:pPr>
              <w:pStyle w:val="TableParagraph"/>
              <w:spacing w:before="59"/>
              <w:ind w:left="264" w:right="110"/>
              <w:rPr>
                <w:sz w:val="18"/>
              </w:rPr>
            </w:pPr>
            <w:r>
              <w:rPr>
                <w:w w:val="105"/>
                <w:sz w:val="18"/>
              </w:rPr>
              <w:t>N/A</w:t>
            </w:r>
          </w:p>
        </w:tc>
        <w:tc>
          <w:tcPr>
            <w:tcW w:w="1144" w:type="dxa"/>
            <w:tcBorders>
              <w:top w:val="nil"/>
              <w:left w:val="single" w:sz="8" w:space="0" w:color="92AC4F"/>
              <w:bottom w:val="single" w:sz="8" w:space="0" w:color="92AC4F"/>
              <w:right w:val="nil"/>
            </w:tcBorders>
          </w:tcPr>
          <w:p w:rsidR="008061C6" w:rsidRDefault="008061C6">
            <w:pPr>
              <w:pStyle w:val="TableParagraph"/>
              <w:rPr>
                <w:rFonts w:ascii="Times New Roman"/>
                <w:sz w:val="16"/>
              </w:rPr>
            </w:pPr>
          </w:p>
        </w:tc>
      </w:tr>
      <w:tr w:rsidR="008061C6">
        <w:trPr>
          <w:trHeight w:val="805"/>
        </w:trPr>
        <w:tc>
          <w:tcPr>
            <w:tcW w:w="1629" w:type="dxa"/>
            <w:tcBorders>
              <w:top w:val="single" w:sz="8" w:space="0" w:color="92AC4F"/>
              <w:left w:val="nil"/>
              <w:bottom w:val="single" w:sz="8" w:space="0" w:color="92AC4F"/>
              <w:right w:val="nil"/>
            </w:tcBorders>
          </w:tcPr>
          <w:p w:rsidR="008061C6" w:rsidRDefault="00B41147">
            <w:pPr>
              <w:pStyle w:val="TableParagraph"/>
              <w:spacing w:before="66" w:line="254" w:lineRule="auto"/>
              <w:ind w:left="103" w:right="439"/>
              <w:rPr>
                <w:rFonts w:ascii="Times New Roman"/>
                <w:sz w:val="18"/>
              </w:rPr>
            </w:pPr>
            <w:r>
              <w:rPr>
                <w:rFonts w:ascii="Times New Roman"/>
                <w:w w:val="110"/>
                <w:sz w:val="18"/>
              </w:rPr>
              <w:t xml:space="preserve">Numbers </w:t>
            </w:r>
            <w:r>
              <w:rPr>
                <w:rFonts w:ascii="Times New Roman"/>
                <w:w w:val="115"/>
                <w:sz w:val="18"/>
              </w:rPr>
              <w:t>analysed</w:t>
            </w:r>
          </w:p>
        </w:tc>
        <w:tc>
          <w:tcPr>
            <w:tcW w:w="620" w:type="dxa"/>
            <w:tcBorders>
              <w:top w:val="single" w:sz="8" w:space="0" w:color="92AC4F"/>
              <w:left w:val="nil"/>
              <w:bottom w:val="single" w:sz="8" w:space="0" w:color="92AC4F"/>
              <w:right w:val="nil"/>
            </w:tcBorders>
          </w:tcPr>
          <w:p w:rsidR="008061C6" w:rsidRDefault="00B41147">
            <w:pPr>
              <w:pStyle w:val="TableParagraph"/>
              <w:spacing w:before="58"/>
              <w:ind w:left="175"/>
              <w:rPr>
                <w:sz w:val="18"/>
              </w:rPr>
            </w:pPr>
            <w:r>
              <w:rPr>
                <w:w w:val="105"/>
                <w:sz w:val="18"/>
              </w:rPr>
              <w:t>15</w:t>
            </w:r>
          </w:p>
        </w:tc>
        <w:tc>
          <w:tcPr>
            <w:tcW w:w="6541" w:type="dxa"/>
            <w:tcBorders>
              <w:top w:val="single" w:sz="8" w:space="0" w:color="92AC4F"/>
              <w:left w:val="nil"/>
              <w:bottom w:val="single" w:sz="8" w:space="0" w:color="92AC4F"/>
              <w:right w:val="single" w:sz="8" w:space="0" w:color="92AC4F"/>
            </w:tcBorders>
          </w:tcPr>
          <w:p w:rsidR="008061C6" w:rsidRDefault="00B41147" w:rsidP="00B41147">
            <w:pPr>
              <w:pStyle w:val="TableParagraph"/>
              <w:tabs>
                <w:tab w:val="left" w:pos="493"/>
              </w:tabs>
              <w:spacing w:before="58"/>
              <w:ind w:left="492" w:right="358"/>
              <w:rPr>
                <w:sz w:val="18"/>
              </w:rPr>
            </w:pPr>
            <w:r>
              <w:rPr>
                <w:w w:val="105"/>
                <w:sz w:val="18"/>
              </w:rPr>
              <w:t>6/6</w:t>
            </w:r>
          </w:p>
          <w:p w:rsidR="008061C6" w:rsidRDefault="008061C6" w:rsidP="00B41147">
            <w:pPr>
              <w:pStyle w:val="TableParagraph"/>
              <w:tabs>
                <w:tab w:val="left" w:pos="454"/>
              </w:tabs>
              <w:spacing w:before="64"/>
              <w:ind w:left="453"/>
              <w:rPr>
                <w:sz w:val="18"/>
              </w:rPr>
            </w:pPr>
          </w:p>
        </w:tc>
        <w:tc>
          <w:tcPr>
            <w:tcW w:w="1144" w:type="dxa"/>
            <w:tcBorders>
              <w:top w:val="single" w:sz="8" w:space="0" w:color="92AC4F"/>
              <w:left w:val="single" w:sz="8" w:space="0" w:color="92AC4F"/>
              <w:bottom w:val="single" w:sz="8" w:space="0" w:color="92AC4F"/>
              <w:right w:val="nil"/>
            </w:tcBorders>
          </w:tcPr>
          <w:p w:rsidR="008061C6" w:rsidRDefault="008061C6">
            <w:pPr>
              <w:pStyle w:val="TableParagraph"/>
              <w:rPr>
                <w:rFonts w:ascii="Times New Roman"/>
                <w:sz w:val="16"/>
              </w:rPr>
            </w:pPr>
          </w:p>
        </w:tc>
      </w:tr>
      <w:tr w:rsidR="008061C6">
        <w:trPr>
          <w:trHeight w:val="556"/>
        </w:trPr>
        <w:tc>
          <w:tcPr>
            <w:tcW w:w="1629" w:type="dxa"/>
            <w:tcBorders>
              <w:top w:val="single" w:sz="8" w:space="0" w:color="92AC4F"/>
              <w:left w:val="nil"/>
              <w:bottom w:val="single" w:sz="8" w:space="0" w:color="92AC4F"/>
              <w:right w:val="nil"/>
            </w:tcBorders>
          </w:tcPr>
          <w:p w:rsidR="008061C6" w:rsidRDefault="00B41147">
            <w:pPr>
              <w:pStyle w:val="TableParagraph"/>
              <w:spacing w:before="66" w:line="254" w:lineRule="auto"/>
              <w:ind w:left="103"/>
              <w:rPr>
                <w:rFonts w:ascii="Times New Roman"/>
                <w:sz w:val="18"/>
              </w:rPr>
            </w:pPr>
            <w:r>
              <w:rPr>
                <w:rFonts w:ascii="Times New Roman"/>
                <w:w w:val="115"/>
                <w:sz w:val="18"/>
              </w:rPr>
              <w:t>Outcomes and estimation</w:t>
            </w:r>
          </w:p>
        </w:tc>
        <w:tc>
          <w:tcPr>
            <w:tcW w:w="620" w:type="dxa"/>
            <w:tcBorders>
              <w:top w:val="single" w:sz="8" w:space="0" w:color="92AC4F"/>
              <w:left w:val="nil"/>
              <w:bottom w:val="single" w:sz="8" w:space="0" w:color="92AC4F"/>
              <w:right w:val="nil"/>
            </w:tcBorders>
          </w:tcPr>
          <w:p w:rsidR="008061C6" w:rsidRDefault="00B41147">
            <w:pPr>
              <w:pStyle w:val="TableParagraph"/>
              <w:spacing w:before="58"/>
              <w:ind w:left="175"/>
              <w:rPr>
                <w:sz w:val="18"/>
              </w:rPr>
            </w:pPr>
            <w:r>
              <w:rPr>
                <w:w w:val="105"/>
                <w:sz w:val="18"/>
              </w:rPr>
              <w:t>16</w:t>
            </w:r>
          </w:p>
        </w:tc>
        <w:tc>
          <w:tcPr>
            <w:tcW w:w="6541" w:type="dxa"/>
            <w:tcBorders>
              <w:top w:val="single" w:sz="8" w:space="0" w:color="92AC4F"/>
              <w:left w:val="nil"/>
              <w:bottom w:val="single" w:sz="8" w:space="0" w:color="92AC4F"/>
              <w:right w:val="single" w:sz="8" w:space="0" w:color="92AC4F"/>
            </w:tcBorders>
          </w:tcPr>
          <w:p w:rsidR="008061C6" w:rsidRDefault="00B41147">
            <w:pPr>
              <w:pStyle w:val="TableParagraph"/>
              <w:spacing w:before="58"/>
              <w:ind w:left="264" w:right="122"/>
              <w:rPr>
                <w:sz w:val="18"/>
              </w:rPr>
            </w:pPr>
            <w:r>
              <w:rPr>
                <w:sz w:val="18"/>
              </w:rPr>
              <w:t xml:space="preserve"> Figure 6- 7</w:t>
            </w:r>
          </w:p>
        </w:tc>
        <w:tc>
          <w:tcPr>
            <w:tcW w:w="1144" w:type="dxa"/>
            <w:tcBorders>
              <w:top w:val="single" w:sz="8" w:space="0" w:color="92AC4F"/>
              <w:left w:val="single" w:sz="8" w:space="0" w:color="92AC4F"/>
              <w:bottom w:val="single" w:sz="8" w:space="0" w:color="92AC4F"/>
              <w:right w:val="nil"/>
            </w:tcBorders>
          </w:tcPr>
          <w:p w:rsidR="008061C6" w:rsidRDefault="008061C6">
            <w:pPr>
              <w:pStyle w:val="TableParagraph"/>
              <w:rPr>
                <w:rFonts w:ascii="Times New Roman"/>
                <w:sz w:val="16"/>
              </w:rPr>
            </w:pPr>
          </w:p>
        </w:tc>
      </w:tr>
      <w:tr w:rsidR="008061C6">
        <w:trPr>
          <w:trHeight w:val="805"/>
        </w:trPr>
        <w:tc>
          <w:tcPr>
            <w:tcW w:w="1629" w:type="dxa"/>
            <w:tcBorders>
              <w:top w:val="single" w:sz="8" w:space="0" w:color="92AC4F"/>
              <w:left w:val="nil"/>
              <w:bottom w:val="single" w:sz="8" w:space="0" w:color="632C5C"/>
              <w:right w:val="nil"/>
            </w:tcBorders>
          </w:tcPr>
          <w:p w:rsidR="008061C6" w:rsidRDefault="00B41147">
            <w:pPr>
              <w:pStyle w:val="TableParagraph"/>
              <w:spacing w:before="66"/>
              <w:ind w:left="103"/>
              <w:rPr>
                <w:rFonts w:ascii="Times New Roman"/>
                <w:sz w:val="18"/>
              </w:rPr>
            </w:pPr>
            <w:r>
              <w:rPr>
                <w:rFonts w:ascii="Times New Roman"/>
                <w:w w:val="115"/>
                <w:sz w:val="18"/>
              </w:rPr>
              <w:t>Adverse events</w:t>
            </w:r>
          </w:p>
        </w:tc>
        <w:tc>
          <w:tcPr>
            <w:tcW w:w="620" w:type="dxa"/>
            <w:tcBorders>
              <w:top w:val="single" w:sz="8" w:space="0" w:color="92AC4F"/>
              <w:left w:val="nil"/>
              <w:bottom w:val="single" w:sz="8" w:space="0" w:color="632C5C"/>
              <w:right w:val="nil"/>
            </w:tcBorders>
          </w:tcPr>
          <w:p w:rsidR="008061C6" w:rsidRDefault="00B41147">
            <w:pPr>
              <w:pStyle w:val="TableParagraph"/>
              <w:spacing w:before="58"/>
              <w:ind w:left="175"/>
              <w:rPr>
                <w:sz w:val="18"/>
              </w:rPr>
            </w:pPr>
            <w:r>
              <w:rPr>
                <w:w w:val="105"/>
                <w:sz w:val="18"/>
              </w:rPr>
              <w:t>17</w:t>
            </w:r>
          </w:p>
        </w:tc>
        <w:tc>
          <w:tcPr>
            <w:tcW w:w="6541" w:type="dxa"/>
            <w:tcBorders>
              <w:top w:val="single" w:sz="8" w:space="0" w:color="92AC4F"/>
              <w:left w:val="nil"/>
              <w:bottom w:val="single" w:sz="8" w:space="0" w:color="632C5C"/>
              <w:right w:val="single" w:sz="8" w:space="0" w:color="92AC4F"/>
            </w:tcBorders>
          </w:tcPr>
          <w:p w:rsidR="008061C6" w:rsidRDefault="00B41147" w:rsidP="00B41147">
            <w:pPr>
              <w:pStyle w:val="TableParagraph"/>
              <w:tabs>
                <w:tab w:val="left" w:pos="454"/>
              </w:tabs>
              <w:spacing w:before="62"/>
              <w:ind w:left="492" w:right="670"/>
              <w:rPr>
                <w:sz w:val="18"/>
              </w:rPr>
            </w:pPr>
            <w:r>
              <w:rPr>
                <w:w w:val="105"/>
                <w:sz w:val="18"/>
              </w:rPr>
              <w:t>N/A</w:t>
            </w:r>
          </w:p>
        </w:tc>
        <w:tc>
          <w:tcPr>
            <w:tcW w:w="1144" w:type="dxa"/>
            <w:tcBorders>
              <w:top w:val="single" w:sz="8" w:space="0" w:color="92AC4F"/>
              <w:left w:val="single" w:sz="8" w:space="0" w:color="92AC4F"/>
              <w:bottom w:val="single" w:sz="8" w:space="0" w:color="632C5C"/>
              <w:right w:val="nil"/>
            </w:tcBorders>
          </w:tcPr>
          <w:p w:rsidR="008061C6" w:rsidRDefault="008061C6">
            <w:pPr>
              <w:pStyle w:val="TableParagraph"/>
              <w:rPr>
                <w:rFonts w:ascii="Times New Roman"/>
                <w:sz w:val="16"/>
              </w:rPr>
            </w:pPr>
          </w:p>
        </w:tc>
      </w:tr>
      <w:tr w:rsidR="008061C6">
        <w:trPr>
          <w:trHeight w:val="338"/>
        </w:trPr>
        <w:tc>
          <w:tcPr>
            <w:tcW w:w="8790" w:type="dxa"/>
            <w:gridSpan w:val="3"/>
            <w:tcBorders>
              <w:top w:val="nil"/>
              <w:left w:val="nil"/>
              <w:bottom w:val="nil"/>
              <w:right w:val="nil"/>
            </w:tcBorders>
            <w:shd w:val="clear" w:color="auto" w:fill="632C5C"/>
          </w:tcPr>
          <w:p w:rsidR="008061C6" w:rsidRDefault="00B41147">
            <w:pPr>
              <w:pStyle w:val="TableParagraph"/>
              <w:spacing w:before="67"/>
              <w:ind w:left="103"/>
              <w:rPr>
                <w:rFonts w:ascii="Times New Roman"/>
                <w:sz w:val="18"/>
              </w:rPr>
            </w:pPr>
            <w:r>
              <w:rPr>
                <w:rFonts w:ascii="Times New Roman"/>
                <w:color w:val="FFFFFF"/>
                <w:w w:val="110"/>
                <w:sz w:val="18"/>
              </w:rPr>
              <w:t>DISCUSSION</w:t>
            </w:r>
          </w:p>
        </w:tc>
        <w:tc>
          <w:tcPr>
            <w:tcW w:w="1144" w:type="dxa"/>
            <w:tcBorders>
              <w:top w:val="nil"/>
              <w:left w:val="nil"/>
              <w:bottom w:val="nil"/>
              <w:right w:val="nil"/>
            </w:tcBorders>
            <w:shd w:val="clear" w:color="auto" w:fill="632C5C"/>
          </w:tcPr>
          <w:p w:rsidR="008061C6" w:rsidRDefault="008061C6">
            <w:pPr>
              <w:pStyle w:val="TableParagraph"/>
              <w:rPr>
                <w:rFonts w:ascii="Times New Roman"/>
                <w:sz w:val="16"/>
              </w:rPr>
            </w:pPr>
          </w:p>
        </w:tc>
      </w:tr>
      <w:tr w:rsidR="008061C6">
        <w:trPr>
          <w:trHeight w:val="1907"/>
        </w:trPr>
        <w:tc>
          <w:tcPr>
            <w:tcW w:w="1629" w:type="dxa"/>
            <w:tcBorders>
              <w:top w:val="single" w:sz="8" w:space="0" w:color="632C5C"/>
              <w:left w:val="nil"/>
              <w:bottom w:val="single" w:sz="8" w:space="0" w:color="632C5C"/>
              <w:right w:val="nil"/>
            </w:tcBorders>
          </w:tcPr>
          <w:p w:rsidR="008061C6" w:rsidRDefault="00B41147">
            <w:pPr>
              <w:pStyle w:val="TableParagraph"/>
              <w:spacing w:before="66" w:line="254" w:lineRule="auto"/>
              <w:ind w:left="103"/>
              <w:rPr>
                <w:rFonts w:ascii="Times New Roman"/>
                <w:sz w:val="18"/>
              </w:rPr>
            </w:pPr>
            <w:r>
              <w:rPr>
                <w:rFonts w:ascii="Times New Roman"/>
                <w:w w:val="110"/>
                <w:sz w:val="18"/>
              </w:rPr>
              <w:t xml:space="preserve">Interpretation/ </w:t>
            </w:r>
            <w:r>
              <w:rPr>
                <w:rFonts w:ascii="Times New Roman"/>
                <w:w w:val="115"/>
                <w:sz w:val="18"/>
              </w:rPr>
              <w:t>scientific implications</w:t>
            </w:r>
          </w:p>
        </w:tc>
        <w:tc>
          <w:tcPr>
            <w:tcW w:w="620" w:type="dxa"/>
            <w:tcBorders>
              <w:top w:val="single" w:sz="8" w:space="0" w:color="632C5C"/>
              <w:left w:val="nil"/>
              <w:bottom w:val="single" w:sz="8" w:space="0" w:color="632C5C"/>
              <w:right w:val="nil"/>
            </w:tcBorders>
          </w:tcPr>
          <w:p w:rsidR="008061C6" w:rsidRDefault="00B41147">
            <w:pPr>
              <w:pStyle w:val="TableParagraph"/>
              <w:spacing w:before="58"/>
              <w:ind w:left="175"/>
              <w:rPr>
                <w:sz w:val="18"/>
              </w:rPr>
            </w:pPr>
            <w:r>
              <w:rPr>
                <w:w w:val="105"/>
                <w:sz w:val="18"/>
              </w:rPr>
              <w:t>18</w:t>
            </w:r>
          </w:p>
        </w:tc>
        <w:tc>
          <w:tcPr>
            <w:tcW w:w="6541" w:type="dxa"/>
            <w:tcBorders>
              <w:top w:val="single" w:sz="8" w:space="0" w:color="632C5C"/>
              <w:left w:val="nil"/>
              <w:bottom w:val="single" w:sz="8" w:space="0" w:color="632C5C"/>
              <w:right w:val="single" w:sz="8" w:space="0" w:color="632C5C"/>
            </w:tcBorders>
          </w:tcPr>
          <w:p w:rsidR="00B41147" w:rsidRPr="00B41147" w:rsidRDefault="00B41147" w:rsidP="00B41147">
            <w:pPr>
              <w:pStyle w:val="TableParagraph"/>
              <w:tabs>
                <w:tab w:val="left" w:pos="447"/>
              </w:tabs>
              <w:spacing w:before="63"/>
              <w:ind w:left="492" w:right="182"/>
              <w:rPr>
                <w:sz w:val="18"/>
              </w:rPr>
            </w:pPr>
            <w:r w:rsidRPr="00B41147">
              <w:rPr>
                <w:sz w:val="18"/>
              </w:rPr>
              <w:t xml:space="preserve">S. aureus as a main human primary pathogen because of the ability to biofilm formation and antibiotic resistance pattern has been assigned as an essential concern in worldwide healthcare system [19]. Staphyloccocus species specially S. aureus and S. epidermidis despite being a part of human flora, well-known ability to attach to surfaces of medical devices and develop into recalcitrant community multilayered structures, referred to as “biofilm”, makes them problematic [20]. Biofilm forming ability is a surveillance factor in Staphyloccocus spp., mediating the adherence of bacterial cells to biomaterials and helps organisms to avoid the host immune defense [21]. Staphylococcal ability to form biofilm, considered the most important factor involved in the pathogenesis, and its colonization on medical devices, makes it increasingly resistant not only to multiple antibiotics but also to host defenses. There is an essential need to replace the medical devices after S. epidermidis biofilm infection, and practical studies on biofilm-preventing vaccines is necessary as well [22]. The role of PIA and proteins in biofilm formation has been clearly demonstrated. Targeting of the SesC protein and PIA macromolecules involved in attachment and accumulation biofilm forming phase’s and antibodies that arise in response to them may be suitable options for antibodies-dependent treatment of bioﬁlms [21]. In the current study, the evaluation of arisen </w:t>
            </w:r>
            <w:r w:rsidRPr="00B41147">
              <w:rPr>
                <w:sz w:val="18"/>
              </w:rPr>
              <w:lastRenderedPageBreak/>
              <w:t>antibodies against PIA and rSesC protein, efficacy of antibodies to biofilm inhibition process and putative vaccine candidate activity against the mentioned antigens of S. aureus have been listed as the main purposes. Taking advantage of cloning, rSesC protein was generated and confirmed with precision by Western blotting procedure. The DNA sequence of the truncated protein representative of the anchor site on the SesC protein was inserted into cloning vector and transformed into the prokaryotic host. 55KD protein representative of rSesC previously purified  [12, 23]. Our results were confirmed when compared by mentioned studies. Less than 70% similarity described to homologous proteins. Although, the specific function of the SesC proteins hadn’t describe, but the closest homologous protein to SesC, is a 341 aa fragment nominated Clumping factor A in S. aureus with specific function(Identity 26.6% and Homology 65.11%) [12].</w:t>
            </w:r>
          </w:p>
          <w:p w:rsidR="00B41147" w:rsidRPr="00B41147" w:rsidRDefault="00B41147" w:rsidP="00B41147">
            <w:pPr>
              <w:pStyle w:val="TableParagraph"/>
              <w:tabs>
                <w:tab w:val="left" w:pos="447"/>
              </w:tabs>
              <w:spacing w:before="63"/>
              <w:ind w:left="492" w:right="182"/>
              <w:rPr>
                <w:sz w:val="18"/>
              </w:rPr>
            </w:pPr>
            <w:r w:rsidRPr="00B41147">
              <w:rPr>
                <w:sz w:val="18"/>
              </w:rPr>
              <w:t xml:space="preserve">Reported data by previously published demonstrate that  the arisen antibody to immunized animals with conjugated a deacetylated PNAG (≤15% acetyl) to diphtheria toxoid (DT) as a carrier protein shown a killing activity against three strains of S. aureus and a PIA dependent biofilm forming S. epidermidis M187 [14]. </w:t>
            </w:r>
          </w:p>
          <w:p w:rsidR="00B41147" w:rsidRPr="00B41147" w:rsidRDefault="00B41147" w:rsidP="00B41147">
            <w:pPr>
              <w:pStyle w:val="TableParagraph"/>
              <w:tabs>
                <w:tab w:val="left" w:pos="447"/>
              </w:tabs>
              <w:spacing w:before="63"/>
              <w:ind w:left="492" w:right="182"/>
              <w:rPr>
                <w:sz w:val="18"/>
              </w:rPr>
            </w:pPr>
          </w:p>
          <w:p w:rsidR="00B41147" w:rsidRPr="00B41147" w:rsidRDefault="00B41147" w:rsidP="00B41147">
            <w:pPr>
              <w:pStyle w:val="TableParagraph"/>
              <w:tabs>
                <w:tab w:val="left" w:pos="447"/>
              </w:tabs>
              <w:spacing w:before="63"/>
              <w:ind w:left="492" w:right="182"/>
              <w:rPr>
                <w:sz w:val="18"/>
              </w:rPr>
            </w:pPr>
            <w:r w:rsidRPr="00B41147">
              <w:rPr>
                <w:sz w:val="18"/>
              </w:rPr>
              <w:t>Because of this homology, biofilm inhibitory effect of the arisen antibodies to rSesC was targeted to biofilm forming S. aureus. Based on the results, rSesC protein has been determined as the suitable biofilm inhibitory candidate vaccine following the injection of 25 mg/ml of the mentioned antigens in mice. This protein not only caused to arise the specific antibodies after the first booster, but also biofilm inhibitory effect of raised antibodies was confirmed. Despite that raised mentioned antibodies were not significant when compared to the first immunization (14/28 days) but the amount of arisen antibodies when compared to the second booster was significantly increased. Raised antibodies against rSesC protein, as a S. aureus clumping factor A protein homolog, successfully decreased biofilm formation in a biofilm forming wild type S. aureus comparing the collected sera after injection times. Our results showed that rSesC, due to the biofilm inhibitory effect, separately could be a vaccine candidate in biofilm forming S. aureus, too. Taking advantage of reported findings [25], although rSesC and PIA were described as two effective vaccine candidates in biofilm forming S. epidermidis, the conjugation of PIA to rSesC will enhance the opsonic activity of secreted antibodies, too. In this study, a mixture of rSesC and PIA was prepared and arisen antibodies of mixture against biofilm forming wild type S. aureus were assessed. Findings support the hypothesis that rSesC could be hopefully considered as a suitable candidate vaccine against biofilm forming S. aureus, too.</w:t>
            </w:r>
          </w:p>
          <w:p w:rsidR="00B41147" w:rsidRPr="00B41147" w:rsidRDefault="00B41147" w:rsidP="00B41147">
            <w:pPr>
              <w:pStyle w:val="TableParagraph"/>
              <w:tabs>
                <w:tab w:val="left" w:pos="447"/>
              </w:tabs>
              <w:spacing w:before="63"/>
              <w:ind w:left="492" w:right="182"/>
              <w:rPr>
                <w:sz w:val="18"/>
              </w:rPr>
            </w:pPr>
            <w:r w:rsidRPr="00B41147">
              <w:rPr>
                <w:sz w:val="18"/>
              </w:rPr>
              <w:t>PIA as the main component of bacterial accumulation during biofilm formation, was extracted from wild-type strain 1457 basing on the native purification process [13]. The composition of purified PIA confirmed by FTIR and it was observed that our data and other published data are similar [13, 21]. We tried to evaluate the PIA and rSesC efficacies as immunoprophylaxis and immunotherapy against biofilm-forming S. aureus. According the previous studies, the purity of native purified PIA can elicit an antibody response against the mentioned antigen [20, 24-26]. Although the antigenicity of most polysaccharides is poor, increased antibodies to PIA have shown a biofilm inhibitory effect. Corresponding antigens had previously been analysed as a useful candidate vaccine against biofilm-forming S. epidermidis, but the opsonic rate of the rSesC protein was lower in purified IgGs [21].</w:t>
            </w:r>
          </w:p>
          <w:p w:rsidR="00B41147" w:rsidRPr="00B41147" w:rsidRDefault="00B41147" w:rsidP="00B41147">
            <w:pPr>
              <w:pStyle w:val="TableParagraph"/>
              <w:tabs>
                <w:tab w:val="left" w:pos="447"/>
              </w:tabs>
              <w:spacing w:before="63"/>
              <w:ind w:left="492" w:right="182"/>
              <w:rPr>
                <w:sz w:val="18"/>
              </w:rPr>
            </w:pPr>
            <w:r w:rsidRPr="00B41147">
              <w:rPr>
                <w:sz w:val="18"/>
              </w:rPr>
              <w:t xml:space="preserve">At the present research, 6-8 weeks female mice were immunized by PIA, rSesC and mix of them in four categorized. Control group received PBS as basic solvent of antigens. All mice were boosted by each specific antigens two weeks after first immunization. Immunized sera were collected in 14, 28 and 42 days after the first immunization. According to the obtained results in ELISA, to evaluation of the total IgGs by checker board method, diluted sera in 1: 200 determined as titers for all of the antigens. PIA and rSesC Immunized sera were not statistically significant when compared by the control 14 days after the first immunization. After the first booster dosage, increasing of the PIA and rSesC antibodies titers were observed, while titers of arisen antibodies in 28 (P=0.0025) and 42 (P=0.0001) collected immune sera were statistically significant. Arisen antibodies to mixture of PIA and rSesC in all immunized sera were statistically significant. Similar results were observed in previously published study based on the antigenicity of mentioned macromolecules </w:t>
            </w:r>
            <w:r w:rsidRPr="00B41147">
              <w:rPr>
                <w:sz w:val="18"/>
              </w:rPr>
              <w:lastRenderedPageBreak/>
              <w:t>[21].</w:t>
            </w:r>
          </w:p>
          <w:p w:rsidR="00B41147" w:rsidRPr="00B41147" w:rsidRDefault="00B41147" w:rsidP="00B41147">
            <w:pPr>
              <w:pStyle w:val="TableParagraph"/>
              <w:tabs>
                <w:tab w:val="left" w:pos="447"/>
              </w:tabs>
              <w:spacing w:before="63"/>
              <w:ind w:left="492" w:right="182"/>
              <w:rPr>
                <w:sz w:val="18"/>
              </w:rPr>
            </w:pPr>
            <w:r w:rsidRPr="00B41147">
              <w:rPr>
                <w:sz w:val="18"/>
              </w:rPr>
              <w:t>Regarding the results reported in previous studies, the presence of amine groups in the PIA structure arisen titers in the first and second boosters is justifiable. The alum as an adjuvant could be stimulated the secreted antibodies and induction of Th2 immunity as well.</w:t>
            </w:r>
          </w:p>
          <w:p w:rsidR="00B41147" w:rsidRPr="00B41147" w:rsidRDefault="00B41147" w:rsidP="00B41147">
            <w:pPr>
              <w:pStyle w:val="TableParagraph"/>
              <w:tabs>
                <w:tab w:val="left" w:pos="447"/>
              </w:tabs>
              <w:spacing w:before="63"/>
              <w:ind w:left="492" w:right="182"/>
              <w:rPr>
                <w:sz w:val="18"/>
              </w:rPr>
            </w:pPr>
            <w:r w:rsidRPr="00B41147">
              <w:rPr>
                <w:sz w:val="18"/>
              </w:rPr>
              <w:t>Since one of the most important characteristics of vaccine candidates is the in vitro and in vivo effects of them, in this study, the features of polyclonal secreted antibodies analysed on biofilm formation under laboratory conditions. Data showed that, immune sera after 14 days had biofilm inhibitory effect, however after the first and second reminders, the effect of biofilm inhibition in the mixture group and other groups showed a significant difference compared with the control group in the last reminder. Efficacy of arisen antibodies in immunized sera showed that, at the first immunization for PIA (P=0.3466), rSesC (P=0.371), biofilm inhibitory effect were not statistically significant when compared by the control group. Immunized sera by mix of PIA and rSesC in two week after the first immunization showed the biofilm inhibitory effect was statistically significant (P= 0.0004). Biofilm inhibitory effect of antigens comparing the different immunization era (14/28 days) showed that the immunized sera by PIA, rSesC (P=0.0314) and Mix of them (P= 0.0003) were statistically significant as well.</w:t>
            </w:r>
          </w:p>
          <w:p w:rsidR="008061C6" w:rsidRDefault="00B41147" w:rsidP="00B41147">
            <w:pPr>
              <w:pStyle w:val="TableParagraph"/>
              <w:tabs>
                <w:tab w:val="left" w:pos="447"/>
              </w:tabs>
              <w:spacing w:before="63"/>
              <w:ind w:left="492" w:right="182"/>
              <w:rPr>
                <w:sz w:val="18"/>
              </w:rPr>
            </w:pPr>
            <w:r w:rsidRPr="00B41147">
              <w:rPr>
                <w:sz w:val="18"/>
              </w:rPr>
              <w:t xml:space="preserve"> Previous researches reported that the mixture of mentioned macromolecules had a good biofilm inhibitory effect. Our published study [25] reported that using a mixture of PIA and rSesC, the opsonic activity of arisen antibodies enhanced against biofilm forming S. epidermidis [25]. In this study, biofilm inhibition capability to PIA/rSesC mixture antibodies against biofilm forming S. aureus was evaluated. Although opsonic activity and in vivo challenge for survival not cheeked at the current research but biofilm inhibition assay demonstrated that mixture of PIA and rSesC, because of suitable decreasing of the biofilm against a wild type biofilm forming S. aureus, could be considered as a good candidate vaccine regarding inhibition of biofilm formation in both S. epidermidis an S. aureus.</w:t>
            </w:r>
          </w:p>
        </w:tc>
        <w:tc>
          <w:tcPr>
            <w:tcW w:w="1144" w:type="dxa"/>
            <w:tcBorders>
              <w:top w:val="single" w:sz="8" w:space="0" w:color="632C5C"/>
              <w:left w:val="single" w:sz="8" w:space="0" w:color="632C5C"/>
              <w:bottom w:val="single" w:sz="8" w:space="0" w:color="632C5C"/>
              <w:right w:val="nil"/>
            </w:tcBorders>
          </w:tcPr>
          <w:p w:rsidR="008061C6" w:rsidRDefault="00B41147">
            <w:pPr>
              <w:pStyle w:val="TableParagraph"/>
              <w:rPr>
                <w:rFonts w:ascii="Times New Roman"/>
                <w:sz w:val="16"/>
              </w:rPr>
            </w:pPr>
            <w:r>
              <w:rPr>
                <w:rFonts w:ascii="Times New Roman"/>
                <w:sz w:val="16"/>
              </w:rPr>
              <w:lastRenderedPageBreak/>
              <w:t>Discussion section (242-334)</w:t>
            </w:r>
          </w:p>
        </w:tc>
      </w:tr>
      <w:tr w:rsidR="008061C6">
        <w:trPr>
          <w:trHeight w:val="745"/>
        </w:trPr>
        <w:tc>
          <w:tcPr>
            <w:tcW w:w="1629" w:type="dxa"/>
            <w:tcBorders>
              <w:top w:val="single" w:sz="8" w:space="0" w:color="632C5C"/>
              <w:left w:val="nil"/>
              <w:bottom w:val="single" w:sz="8" w:space="0" w:color="632C5C"/>
              <w:right w:val="nil"/>
            </w:tcBorders>
          </w:tcPr>
          <w:p w:rsidR="008061C6" w:rsidRDefault="00B41147">
            <w:pPr>
              <w:pStyle w:val="TableParagraph"/>
              <w:spacing w:before="66" w:line="254" w:lineRule="auto"/>
              <w:ind w:left="103"/>
              <w:rPr>
                <w:rFonts w:ascii="Times New Roman"/>
                <w:sz w:val="18"/>
              </w:rPr>
            </w:pPr>
            <w:r>
              <w:rPr>
                <w:rFonts w:ascii="Times New Roman"/>
                <w:w w:val="110"/>
                <w:sz w:val="18"/>
              </w:rPr>
              <w:lastRenderedPageBreak/>
              <w:t xml:space="preserve">Generalisability/ </w:t>
            </w:r>
            <w:r>
              <w:rPr>
                <w:rFonts w:ascii="Times New Roman"/>
                <w:w w:val="115"/>
                <w:sz w:val="18"/>
              </w:rPr>
              <w:t>translation</w:t>
            </w:r>
          </w:p>
        </w:tc>
        <w:tc>
          <w:tcPr>
            <w:tcW w:w="620" w:type="dxa"/>
            <w:tcBorders>
              <w:top w:val="single" w:sz="8" w:space="0" w:color="632C5C"/>
              <w:left w:val="nil"/>
              <w:bottom w:val="single" w:sz="8" w:space="0" w:color="632C5C"/>
              <w:right w:val="nil"/>
            </w:tcBorders>
          </w:tcPr>
          <w:p w:rsidR="008061C6" w:rsidRDefault="00B41147">
            <w:pPr>
              <w:pStyle w:val="TableParagraph"/>
              <w:spacing w:before="58"/>
              <w:ind w:left="175"/>
              <w:rPr>
                <w:sz w:val="18"/>
              </w:rPr>
            </w:pPr>
            <w:r>
              <w:rPr>
                <w:w w:val="105"/>
                <w:sz w:val="18"/>
              </w:rPr>
              <w:t>19</w:t>
            </w:r>
          </w:p>
        </w:tc>
        <w:tc>
          <w:tcPr>
            <w:tcW w:w="6541" w:type="dxa"/>
            <w:tcBorders>
              <w:top w:val="single" w:sz="8" w:space="0" w:color="632C5C"/>
              <w:left w:val="nil"/>
              <w:bottom w:val="single" w:sz="8" w:space="0" w:color="632C5C"/>
              <w:right w:val="single" w:sz="8" w:space="0" w:color="632C5C"/>
            </w:tcBorders>
          </w:tcPr>
          <w:p w:rsidR="008061C6" w:rsidRDefault="00B41147">
            <w:pPr>
              <w:pStyle w:val="TableParagraph"/>
              <w:spacing w:before="58"/>
              <w:ind w:left="264" w:right="398"/>
              <w:rPr>
                <w:sz w:val="18"/>
              </w:rPr>
            </w:pPr>
            <w:r>
              <w:rPr>
                <w:sz w:val="18"/>
              </w:rPr>
              <w:t>N/A</w:t>
            </w:r>
          </w:p>
        </w:tc>
        <w:tc>
          <w:tcPr>
            <w:tcW w:w="1144" w:type="dxa"/>
            <w:tcBorders>
              <w:top w:val="single" w:sz="8" w:space="0" w:color="632C5C"/>
              <w:left w:val="single" w:sz="8" w:space="0" w:color="632C5C"/>
              <w:bottom w:val="single" w:sz="8" w:space="0" w:color="632C5C"/>
              <w:right w:val="nil"/>
            </w:tcBorders>
          </w:tcPr>
          <w:p w:rsidR="008061C6" w:rsidRDefault="008061C6">
            <w:pPr>
              <w:pStyle w:val="TableParagraph"/>
              <w:rPr>
                <w:rFonts w:ascii="Times New Roman"/>
                <w:sz w:val="16"/>
              </w:rPr>
            </w:pPr>
          </w:p>
        </w:tc>
      </w:tr>
      <w:tr w:rsidR="008061C6">
        <w:trPr>
          <w:trHeight w:val="537"/>
        </w:trPr>
        <w:tc>
          <w:tcPr>
            <w:tcW w:w="1629" w:type="dxa"/>
            <w:tcBorders>
              <w:top w:val="single" w:sz="8" w:space="0" w:color="632C5C"/>
              <w:left w:val="nil"/>
              <w:bottom w:val="single" w:sz="8" w:space="0" w:color="632C5C"/>
              <w:right w:val="nil"/>
            </w:tcBorders>
          </w:tcPr>
          <w:p w:rsidR="008061C6" w:rsidRDefault="00B41147">
            <w:pPr>
              <w:pStyle w:val="TableParagraph"/>
              <w:spacing w:before="66"/>
              <w:ind w:left="103"/>
              <w:rPr>
                <w:rFonts w:ascii="Times New Roman"/>
                <w:sz w:val="18"/>
              </w:rPr>
            </w:pPr>
            <w:r>
              <w:rPr>
                <w:rFonts w:ascii="Times New Roman"/>
                <w:w w:val="115"/>
                <w:sz w:val="18"/>
              </w:rPr>
              <w:t>Funding</w:t>
            </w:r>
          </w:p>
        </w:tc>
        <w:tc>
          <w:tcPr>
            <w:tcW w:w="620" w:type="dxa"/>
            <w:tcBorders>
              <w:top w:val="single" w:sz="8" w:space="0" w:color="632C5C"/>
              <w:left w:val="nil"/>
              <w:bottom w:val="single" w:sz="8" w:space="0" w:color="632C5C"/>
              <w:right w:val="nil"/>
            </w:tcBorders>
          </w:tcPr>
          <w:p w:rsidR="008061C6" w:rsidRDefault="00B41147">
            <w:pPr>
              <w:pStyle w:val="TableParagraph"/>
              <w:spacing w:before="58"/>
              <w:ind w:left="175"/>
              <w:rPr>
                <w:sz w:val="18"/>
              </w:rPr>
            </w:pPr>
            <w:r>
              <w:rPr>
                <w:w w:val="105"/>
                <w:sz w:val="18"/>
              </w:rPr>
              <w:t>20</w:t>
            </w:r>
          </w:p>
        </w:tc>
        <w:tc>
          <w:tcPr>
            <w:tcW w:w="6541" w:type="dxa"/>
            <w:tcBorders>
              <w:top w:val="single" w:sz="8" w:space="0" w:color="632C5C"/>
              <w:left w:val="nil"/>
              <w:bottom w:val="single" w:sz="8" w:space="0" w:color="632C5C"/>
              <w:right w:val="single" w:sz="8" w:space="0" w:color="632C5C"/>
            </w:tcBorders>
          </w:tcPr>
          <w:p w:rsidR="008061C6" w:rsidRDefault="00B41147">
            <w:pPr>
              <w:pStyle w:val="TableParagraph"/>
              <w:spacing w:before="58"/>
              <w:ind w:left="230" w:right="859"/>
              <w:rPr>
                <w:sz w:val="18"/>
              </w:rPr>
            </w:pPr>
            <w:r>
              <w:rPr>
                <w:w w:val="105"/>
                <w:sz w:val="18"/>
              </w:rPr>
              <w:t>Not Applicable</w:t>
            </w:r>
          </w:p>
        </w:tc>
        <w:tc>
          <w:tcPr>
            <w:tcW w:w="1144" w:type="dxa"/>
            <w:tcBorders>
              <w:top w:val="single" w:sz="8" w:space="0" w:color="632C5C"/>
              <w:left w:val="single" w:sz="8" w:space="0" w:color="632C5C"/>
              <w:bottom w:val="single" w:sz="8" w:space="0" w:color="632C5C"/>
              <w:right w:val="nil"/>
            </w:tcBorders>
          </w:tcPr>
          <w:p w:rsidR="008061C6" w:rsidRDefault="008061C6">
            <w:pPr>
              <w:pStyle w:val="TableParagraph"/>
              <w:rPr>
                <w:rFonts w:ascii="Times New Roman"/>
                <w:sz w:val="16"/>
              </w:rPr>
            </w:pPr>
          </w:p>
        </w:tc>
      </w:tr>
    </w:tbl>
    <w:p w:rsidR="008061C6" w:rsidRDefault="008061C6">
      <w:pPr>
        <w:pStyle w:val="BodyText"/>
        <w:spacing w:before="10"/>
        <w:rPr>
          <w:sz w:val="15"/>
        </w:rPr>
      </w:pPr>
    </w:p>
    <w:p w:rsidR="008061C6" w:rsidRPr="00B41147" w:rsidRDefault="008061C6" w:rsidP="00B41147">
      <w:pPr>
        <w:tabs>
          <w:tab w:val="left" w:pos="1685"/>
        </w:tabs>
        <w:ind w:right="371"/>
        <w:rPr>
          <w:sz w:val="16"/>
        </w:rPr>
      </w:pPr>
      <w:bookmarkStart w:id="0" w:name="_GoBack"/>
      <w:bookmarkEnd w:id="0"/>
    </w:p>
    <w:sectPr w:rsidR="008061C6" w:rsidRPr="00B41147">
      <w:pgSz w:w="11910" w:h="16840"/>
      <w:pgMar w:top="1360" w:right="340" w:bottom="280" w:left="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931CB"/>
    <w:multiLevelType w:val="hybridMultilevel"/>
    <w:tmpl w:val="FEF6B474"/>
    <w:lvl w:ilvl="0" w:tplc="6686A7DA">
      <w:start w:val="1"/>
      <w:numFmt w:val="decimal"/>
      <w:lvlText w:val="%1."/>
      <w:lvlJc w:val="left"/>
      <w:pPr>
        <w:ind w:left="1732" w:hanging="180"/>
        <w:jc w:val="left"/>
      </w:pPr>
      <w:rPr>
        <w:rFonts w:ascii="Arial" w:eastAsia="Arial" w:hAnsi="Arial" w:cs="Arial" w:hint="default"/>
        <w:spacing w:val="-1"/>
        <w:w w:val="100"/>
        <w:sz w:val="16"/>
        <w:szCs w:val="16"/>
        <w:lang w:val="en-GB" w:eastAsia="en-GB" w:bidi="en-GB"/>
      </w:rPr>
    </w:lvl>
    <w:lvl w:ilvl="1" w:tplc="0A66628E">
      <w:numFmt w:val="bullet"/>
      <w:lvlText w:val="•"/>
      <w:lvlJc w:val="left"/>
      <w:pPr>
        <w:ind w:left="2708" w:hanging="180"/>
      </w:pPr>
      <w:rPr>
        <w:rFonts w:hint="default"/>
        <w:lang w:val="en-GB" w:eastAsia="en-GB" w:bidi="en-GB"/>
      </w:rPr>
    </w:lvl>
    <w:lvl w:ilvl="2" w:tplc="58FE61D0">
      <w:numFmt w:val="bullet"/>
      <w:lvlText w:val="•"/>
      <w:lvlJc w:val="left"/>
      <w:pPr>
        <w:ind w:left="3677" w:hanging="180"/>
      </w:pPr>
      <w:rPr>
        <w:rFonts w:hint="default"/>
        <w:lang w:val="en-GB" w:eastAsia="en-GB" w:bidi="en-GB"/>
      </w:rPr>
    </w:lvl>
    <w:lvl w:ilvl="3" w:tplc="E9224F58">
      <w:numFmt w:val="bullet"/>
      <w:lvlText w:val="•"/>
      <w:lvlJc w:val="left"/>
      <w:pPr>
        <w:ind w:left="4645" w:hanging="180"/>
      </w:pPr>
      <w:rPr>
        <w:rFonts w:hint="default"/>
        <w:lang w:val="en-GB" w:eastAsia="en-GB" w:bidi="en-GB"/>
      </w:rPr>
    </w:lvl>
    <w:lvl w:ilvl="4" w:tplc="5AEA4D84">
      <w:numFmt w:val="bullet"/>
      <w:lvlText w:val="•"/>
      <w:lvlJc w:val="left"/>
      <w:pPr>
        <w:ind w:left="5614" w:hanging="180"/>
      </w:pPr>
      <w:rPr>
        <w:rFonts w:hint="default"/>
        <w:lang w:val="en-GB" w:eastAsia="en-GB" w:bidi="en-GB"/>
      </w:rPr>
    </w:lvl>
    <w:lvl w:ilvl="5" w:tplc="45BA652A">
      <w:numFmt w:val="bullet"/>
      <w:lvlText w:val="•"/>
      <w:lvlJc w:val="left"/>
      <w:pPr>
        <w:ind w:left="6583" w:hanging="180"/>
      </w:pPr>
      <w:rPr>
        <w:rFonts w:hint="default"/>
        <w:lang w:val="en-GB" w:eastAsia="en-GB" w:bidi="en-GB"/>
      </w:rPr>
    </w:lvl>
    <w:lvl w:ilvl="6" w:tplc="8D347048">
      <w:numFmt w:val="bullet"/>
      <w:lvlText w:val="•"/>
      <w:lvlJc w:val="left"/>
      <w:pPr>
        <w:ind w:left="7551" w:hanging="180"/>
      </w:pPr>
      <w:rPr>
        <w:rFonts w:hint="default"/>
        <w:lang w:val="en-GB" w:eastAsia="en-GB" w:bidi="en-GB"/>
      </w:rPr>
    </w:lvl>
    <w:lvl w:ilvl="7" w:tplc="FE5A488C">
      <w:numFmt w:val="bullet"/>
      <w:lvlText w:val="•"/>
      <w:lvlJc w:val="left"/>
      <w:pPr>
        <w:ind w:left="8520" w:hanging="180"/>
      </w:pPr>
      <w:rPr>
        <w:rFonts w:hint="default"/>
        <w:lang w:val="en-GB" w:eastAsia="en-GB" w:bidi="en-GB"/>
      </w:rPr>
    </w:lvl>
    <w:lvl w:ilvl="8" w:tplc="A72E00BC">
      <w:numFmt w:val="bullet"/>
      <w:lvlText w:val="•"/>
      <w:lvlJc w:val="left"/>
      <w:pPr>
        <w:ind w:left="9489" w:hanging="180"/>
      </w:pPr>
      <w:rPr>
        <w:rFonts w:hint="default"/>
        <w:lang w:val="en-GB" w:eastAsia="en-GB" w:bidi="en-GB"/>
      </w:rPr>
    </w:lvl>
  </w:abstractNum>
  <w:abstractNum w:abstractNumId="1" w15:restartNumberingAfterBreak="0">
    <w:nsid w:val="299C0B8D"/>
    <w:multiLevelType w:val="hybridMultilevel"/>
    <w:tmpl w:val="AD5E6D82"/>
    <w:lvl w:ilvl="0" w:tplc="A4B65AEE">
      <w:start w:val="1"/>
      <w:numFmt w:val="lowerLetter"/>
      <w:lvlText w:val="%1."/>
      <w:lvlJc w:val="left"/>
      <w:pPr>
        <w:ind w:left="492" w:hanging="178"/>
        <w:jc w:val="left"/>
      </w:pPr>
      <w:rPr>
        <w:rFonts w:ascii="Arial" w:eastAsia="Arial" w:hAnsi="Arial" w:cs="Arial" w:hint="default"/>
        <w:spacing w:val="-1"/>
        <w:w w:val="80"/>
        <w:sz w:val="18"/>
        <w:szCs w:val="18"/>
        <w:lang w:val="en-GB" w:eastAsia="en-GB" w:bidi="en-GB"/>
      </w:rPr>
    </w:lvl>
    <w:lvl w:ilvl="1" w:tplc="EA30F56A">
      <w:numFmt w:val="bullet"/>
      <w:lvlText w:val="•"/>
      <w:lvlJc w:val="left"/>
      <w:pPr>
        <w:ind w:left="1103" w:hanging="178"/>
      </w:pPr>
      <w:rPr>
        <w:rFonts w:hint="default"/>
        <w:lang w:val="en-GB" w:eastAsia="en-GB" w:bidi="en-GB"/>
      </w:rPr>
    </w:lvl>
    <w:lvl w:ilvl="2" w:tplc="9C3C32BC">
      <w:numFmt w:val="bullet"/>
      <w:lvlText w:val="•"/>
      <w:lvlJc w:val="left"/>
      <w:pPr>
        <w:ind w:left="1706" w:hanging="178"/>
      </w:pPr>
      <w:rPr>
        <w:rFonts w:hint="default"/>
        <w:lang w:val="en-GB" w:eastAsia="en-GB" w:bidi="en-GB"/>
      </w:rPr>
    </w:lvl>
    <w:lvl w:ilvl="3" w:tplc="BB0AE4CE">
      <w:numFmt w:val="bullet"/>
      <w:lvlText w:val="•"/>
      <w:lvlJc w:val="left"/>
      <w:pPr>
        <w:ind w:left="2309" w:hanging="178"/>
      </w:pPr>
      <w:rPr>
        <w:rFonts w:hint="default"/>
        <w:lang w:val="en-GB" w:eastAsia="en-GB" w:bidi="en-GB"/>
      </w:rPr>
    </w:lvl>
    <w:lvl w:ilvl="4" w:tplc="6406A678">
      <w:numFmt w:val="bullet"/>
      <w:lvlText w:val="•"/>
      <w:lvlJc w:val="left"/>
      <w:pPr>
        <w:ind w:left="2912" w:hanging="178"/>
      </w:pPr>
      <w:rPr>
        <w:rFonts w:hint="default"/>
        <w:lang w:val="en-GB" w:eastAsia="en-GB" w:bidi="en-GB"/>
      </w:rPr>
    </w:lvl>
    <w:lvl w:ilvl="5" w:tplc="B65C875C">
      <w:numFmt w:val="bullet"/>
      <w:lvlText w:val="•"/>
      <w:lvlJc w:val="left"/>
      <w:pPr>
        <w:ind w:left="3515" w:hanging="178"/>
      </w:pPr>
      <w:rPr>
        <w:rFonts w:hint="default"/>
        <w:lang w:val="en-GB" w:eastAsia="en-GB" w:bidi="en-GB"/>
      </w:rPr>
    </w:lvl>
    <w:lvl w:ilvl="6" w:tplc="3614129E">
      <w:numFmt w:val="bullet"/>
      <w:lvlText w:val="•"/>
      <w:lvlJc w:val="left"/>
      <w:pPr>
        <w:ind w:left="4118" w:hanging="178"/>
      </w:pPr>
      <w:rPr>
        <w:rFonts w:hint="default"/>
        <w:lang w:val="en-GB" w:eastAsia="en-GB" w:bidi="en-GB"/>
      </w:rPr>
    </w:lvl>
    <w:lvl w:ilvl="7" w:tplc="9EAEF064">
      <w:numFmt w:val="bullet"/>
      <w:lvlText w:val="•"/>
      <w:lvlJc w:val="left"/>
      <w:pPr>
        <w:ind w:left="4721" w:hanging="178"/>
      </w:pPr>
      <w:rPr>
        <w:rFonts w:hint="default"/>
        <w:lang w:val="en-GB" w:eastAsia="en-GB" w:bidi="en-GB"/>
      </w:rPr>
    </w:lvl>
    <w:lvl w:ilvl="8" w:tplc="DFBA65A2">
      <w:numFmt w:val="bullet"/>
      <w:lvlText w:val="•"/>
      <w:lvlJc w:val="left"/>
      <w:pPr>
        <w:ind w:left="5324" w:hanging="178"/>
      </w:pPr>
      <w:rPr>
        <w:rFonts w:hint="default"/>
        <w:lang w:val="en-GB" w:eastAsia="en-GB" w:bidi="en-GB"/>
      </w:rPr>
    </w:lvl>
  </w:abstractNum>
  <w:abstractNum w:abstractNumId="2" w15:restartNumberingAfterBreak="0">
    <w:nsid w:val="2D1D796B"/>
    <w:multiLevelType w:val="hybridMultilevel"/>
    <w:tmpl w:val="9042A2E6"/>
    <w:lvl w:ilvl="0" w:tplc="C58C1306">
      <w:start w:val="1"/>
      <w:numFmt w:val="lowerLetter"/>
      <w:lvlText w:val="%1."/>
      <w:lvlJc w:val="left"/>
      <w:pPr>
        <w:ind w:left="492" w:hanging="178"/>
        <w:jc w:val="left"/>
      </w:pPr>
      <w:rPr>
        <w:rFonts w:ascii="Arial" w:eastAsia="Arial" w:hAnsi="Arial" w:cs="Arial" w:hint="default"/>
        <w:spacing w:val="-1"/>
        <w:w w:val="80"/>
        <w:sz w:val="18"/>
        <w:szCs w:val="18"/>
        <w:lang w:val="en-GB" w:eastAsia="en-GB" w:bidi="en-GB"/>
      </w:rPr>
    </w:lvl>
    <w:lvl w:ilvl="1" w:tplc="0960F4DC">
      <w:numFmt w:val="bullet"/>
      <w:lvlText w:val="•"/>
      <w:lvlJc w:val="left"/>
      <w:pPr>
        <w:ind w:left="1103" w:hanging="178"/>
      </w:pPr>
      <w:rPr>
        <w:rFonts w:hint="default"/>
        <w:lang w:val="en-GB" w:eastAsia="en-GB" w:bidi="en-GB"/>
      </w:rPr>
    </w:lvl>
    <w:lvl w:ilvl="2" w:tplc="2DD482B6">
      <w:numFmt w:val="bullet"/>
      <w:lvlText w:val="•"/>
      <w:lvlJc w:val="left"/>
      <w:pPr>
        <w:ind w:left="1706" w:hanging="178"/>
      </w:pPr>
      <w:rPr>
        <w:rFonts w:hint="default"/>
        <w:lang w:val="en-GB" w:eastAsia="en-GB" w:bidi="en-GB"/>
      </w:rPr>
    </w:lvl>
    <w:lvl w:ilvl="3" w:tplc="DE0E38BE">
      <w:numFmt w:val="bullet"/>
      <w:lvlText w:val="•"/>
      <w:lvlJc w:val="left"/>
      <w:pPr>
        <w:ind w:left="2309" w:hanging="178"/>
      </w:pPr>
      <w:rPr>
        <w:rFonts w:hint="default"/>
        <w:lang w:val="en-GB" w:eastAsia="en-GB" w:bidi="en-GB"/>
      </w:rPr>
    </w:lvl>
    <w:lvl w:ilvl="4" w:tplc="49B65C06">
      <w:numFmt w:val="bullet"/>
      <w:lvlText w:val="•"/>
      <w:lvlJc w:val="left"/>
      <w:pPr>
        <w:ind w:left="2912" w:hanging="178"/>
      </w:pPr>
      <w:rPr>
        <w:rFonts w:hint="default"/>
        <w:lang w:val="en-GB" w:eastAsia="en-GB" w:bidi="en-GB"/>
      </w:rPr>
    </w:lvl>
    <w:lvl w:ilvl="5" w:tplc="E16C8162">
      <w:numFmt w:val="bullet"/>
      <w:lvlText w:val="•"/>
      <w:lvlJc w:val="left"/>
      <w:pPr>
        <w:ind w:left="3515" w:hanging="178"/>
      </w:pPr>
      <w:rPr>
        <w:rFonts w:hint="default"/>
        <w:lang w:val="en-GB" w:eastAsia="en-GB" w:bidi="en-GB"/>
      </w:rPr>
    </w:lvl>
    <w:lvl w:ilvl="6" w:tplc="054ECD00">
      <w:numFmt w:val="bullet"/>
      <w:lvlText w:val="•"/>
      <w:lvlJc w:val="left"/>
      <w:pPr>
        <w:ind w:left="4118" w:hanging="178"/>
      </w:pPr>
      <w:rPr>
        <w:rFonts w:hint="default"/>
        <w:lang w:val="en-GB" w:eastAsia="en-GB" w:bidi="en-GB"/>
      </w:rPr>
    </w:lvl>
    <w:lvl w:ilvl="7" w:tplc="23886B04">
      <w:numFmt w:val="bullet"/>
      <w:lvlText w:val="•"/>
      <w:lvlJc w:val="left"/>
      <w:pPr>
        <w:ind w:left="4721" w:hanging="178"/>
      </w:pPr>
      <w:rPr>
        <w:rFonts w:hint="default"/>
        <w:lang w:val="en-GB" w:eastAsia="en-GB" w:bidi="en-GB"/>
      </w:rPr>
    </w:lvl>
    <w:lvl w:ilvl="8" w:tplc="EC2AB5CC">
      <w:numFmt w:val="bullet"/>
      <w:lvlText w:val="•"/>
      <w:lvlJc w:val="left"/>
      <w:pPr>
        <w:ind w:left="5324" w:hanging="178"/>
      </w:pPr>
      <w:rPr>
        <w:rFonts w:hint="default"/>
        <w:lang w:val="en-GB" w:eastAsia="en-GB" w:bidi="en-GB"/>
      </w:rPr>
    </w:lvl>
  </w:abstractNum>
  <w:abstractNum w:abstractNumId="3" w15:restartNumberingAfterBreak="0">
    <w:nsid w:val="338078D2"/>
    <w:multiLevelType w:val="hybridMultilevel"/>
    <w:tmpl w:val="D0223C0A"/>
    <w:lvl w:ilvl="0" w:tplc="C96E2E22">
      <w:start w:val="1"/>
      <w:numFmt w:val="lowerLetter"/>
      <w:lvlText w:val="%1."/>
      <w:lvlJc w:val="left"/>
      <w:pPr>
        <w:ind w:left="492" w:hanging="178"/>
        <w:jc w:val="left"/>
      </w:pPr>
      <w:rPr>
        <w:rFonts w:ascii="Arial" w:eastAsia="Arial" w:hAnsi="Arial" w:cs="Arial" w:hint="default"/>
        <w:spacing w:val="-1"/>
        <w:w w:val="80"/>
        <w:sz w:val="18"/>
        <w:szCs w:val="18"/>
        <w:lang w:val="en-GB" w:eastAsia="en-GB" w:bidi="en-GB"/>
      </w:rPr>
    </w:lvl>
    <w:lvl w:ilvl="1" w:tplc="1F521856">
      <w:numFmt w:val="bullet"/>
      <w:lvlText w:val="•"/>
      <w:lvlJc w:val="left"/>
      <w:pPr>
        <w:ind w:left="1103" w:hanging="178"/>
      </w:pPr>
      <w:rPr>
        <w:rFonts w:hint="default"/>
        <w:lang w:val="en-GB" w:eastAsia="en-GB" w:bidi="en-GB"/>
      </w:rPr>
    </w:lvl>
    <w:lvl w:ilvl="2" w:tplc="00BEB5B4">
      <w:numFmt w:val="bullet"/>
      <w:lvlText w:val="•"/>
      <w:lvlJc w:val="left"/>
      <w:pPr>
        <w:ind w:left="1706" w:hanging="178"/>
      </w:pPr>
      <w:rPr>
        <w:rFonts w:hint="default"/>
        <w:lang w:val="en-GB" w:eastAsia="en-GB" w:bidi="en-GB"/>
      </w:rPr>
    </w:lvl>
    <w:lvl w:ilvl="3" w:tplc="4E9056C6">
      <w:numFmt w:val="bullet"/>
      <w:lvlText w:val="•"/>
      <w:lvlJc w:val="left"/>
      <w:pPr>
        <w:ind w:left="2309" w:hanging="178"/>
      </w:pPr>
      <w:rPr>
        <w:rFonts w:hint="default"/>
        <w:lang w:val="en-GB" w:eastAsia="en-GB" w:bidi="en-GB"/>
      </w:rPr>
    </w:lvl>
    <w:lvl w:ilvl="4" w:tplc="6220E0D0">
      <w:numFmt w:val="bullet"/>
      <w:lvlText w:val="•"/>
      <w:lvlJc w:val="left"/>
      <w:pPr>
        <w:ind w:left="2912" w:hanging="178"/>
      </w:pPr>
      <w:rPr>
        <w:rFonts w:hint="default"/>
        <w:lang w:val="en-GB" w:eastAsia="en-GB" w:bidi="en-GB"/>
      </w:rPr>
    </w:lvl>
    <w:lvl w:ilvl="5" w:tplc="0F66363E">
      <w:numFmt w:val="bullet"/>
      <w:lvlText w:val="•"/>
      <w:lvlJc w:val="left"/>
      <w:pPr>
        <w:ind w:left="3515" w:hanging="178"/>
      </w:pPr>
      <w:rPr>
        <w:rFonts w:hint="default"/>
        <w:lang w:val="en-GB" w:eastAsia="en-GB" w:bidi="en-GB"/>
      </w:rPr>
    </w:lvl>
    <w:lvl w:ilvl="6" w:tplc="6F6E64A4">
      <w:numFmt w:val="bullet"/>
      <w:lvlText w:val="•"/>
      <w:lvlJc w:val="left"/>
      <w:pPr>
        <w:ind w:left="4118" w:hanging="178"/>
      </w:pPr>
      <w:rPr>
        <w:rFonts w:hint="default"/>
        <w:lang w:val="en-GB" w:eastAsia="en-GB" w:bidi="en-GB"/>
      </w:rPr>
    </w:lvl>
    <w:lvl w:ilvl="7" w:tplc="4D1A5EE8">
      <w:numFmt w:val="bullet"/>
      <w:lvlText w:val="•"/>
      <w:lvlJc w:val="left"/>
      <w:pPr>
        <w:ind w:left="4721" w:hanging="178"/>
      </w:pPr>
      <w:rPr>
        <w:rFonts w:hint="default"/>
        <w:lang w:val="en-GB" w:eastAsia="en-GB" w:bidi="en-GB"/>
      </w:rPr>
    </w:lvl>
    <w:lvl w:ilvl="8" w:tplc="6EE6E2CC">
      <w:numFmt w:val="bullet"/>
      <w:lvlText w:val="•"/>
      <w:lvlJc w:val="left"/>
      <w:pPr>
        <w:ind w:left="5324" w:hanging="178"/>
      </w:pPr>
      <w:rPr>
        <w:rFonts w:hint="default"/>
        <w:lang w:val="en-GB" w:eastAsia="en-GB" w:bidi="en-GB"/>
      </w:rPr>
    </w:lvl>
  </w:abstractNum>
  <w:abstractNum w:abstractNumId="4" w15:restartNumberingAfterBreak="0">
    <w:nsid w:val="3A5810F4"/>
    <w:multiLevelType w:val="hybridMultilevel"/>
    <w:tmpl w:val="1C983636"/>
    <w:lvl w:ilvl="0" w:tplc="148A78F4">
      <w:start w:val="1"/>
      <w:numFmt w:val="lowerLetter"/>
      <w:lvlText w:val="%1."/>
      <w:lvlJc w:val="left"/>
      <w:pPr>
        <w:ind w:left="492" w:hanging="178"/>
        <w:jc w:val="left"/>
      </w:pPr>
      <w:rPr>
        <w:rFonts w:ascii="Arial" w:eastAsia="Arial" w:hAnsi="Arial" w:cs="Arial" w:hint="default"/>
        <w:spacing w:val="-1"/>
        <w:w w:val="80"/>
        <w:sz w:val="18"/>
        <w:szCs w:val="18"/>
        <w:lang w:val="en-GB" w:eastAsia="en-GB" w:bidi="en-GB"/>
      </w:rPr>
    </w:lvl>
    <w:lvl w:ilvl="1" w:tplc="C608BB2A">
      <w:numFmt w:val="bullet"/>
      <w:lvlText w:val="•"/>
      <w:lvlJc w:val="left"/>
      <w:pPr>
        <w:ind w:left="1103" w:hanging="178"/>
      </w:pPr>
      <w:rPr>
        <w:rFonts w:hint="default"/>
        <w:lang w:val="en-GB" w:eastAsia="en-GB" w:bidi="en-GB"/>
      </w:rPr>
    </w:lvl>
    <w:lvl w:ilvl="2" w:tplc="EB26ADC0">
      <w:numFmt w:val="bullet"/>
      <w:lvlText w:val="•"/>
      <w:lvlJc w:val="left"/>
      <w:pPr>
        <w:ind w:left="1706" w:hanging="178"/>
      </w:pPr>
      <w:rPr>
        <w:rFonts w:hint="default"/>
        <w:lang w:val="en-GB" w:eastAsia="en-GB" w:bidi="en-GB"/>
      </w:rPr>
    </w:lvl>
    <w:lvl w:ilvl="3" w:tplc="315C1B86">
      <w:numFmt w:val="bullet"/>
      <w:lvlText w:val="•"/>
      <w:lvlJc w:val="left"/>
      <w:pPr>
        <w:ind w:left="2309" w:hanging="178"/>
      </w:pPr>
      <w:rPr>
        <w:rFonts w:hint="default"/>
        <w:lang w:val="en-GB" w:eastAsia="en-GB" w:bidi="en-GB"/>
      </w:rPr>
    </w:lvl>
    <w:lvl w:ilvl="4" w:tplc="32BA5F48">
      <w:numFmt w:val="bullet"/>
      <w:lvlText w:val="•"/>
      <w:lvlJc w:val="left"/>
      <w:pPr>
        <w:ind w:left="2912" w:hanging="178"/>
      </w:pPr>
      <w:rPr>
        <w:rFonts w:hint="default"/>
        <w:lang w:val="en-GB" w:eastAsia="en-GB" w:bidi="en-GB"/>
      </w:rPr>
    </w:lvl>
    <w:lvl w:ilvl="5" w:tplc="AD58BEB8">
      <w:numFmt w:val="bullet"/>
      <w:lvlText w:val="•"/>
      <w:lvlJc w:val="left"/>
      <w:pPr>
        <w:ind w:left="3515" w:hanging="178"/>
      </w:pPr>
      <w:rPr>
        <w:rFonts w:hint="default"/>
        <w:lang w:val="en-GB" w:eastAsia="en-GB" w:bidi="en-GB"/>
      </w:rPr>
    </w:lvl>
    <w:lvl w:ilvl="6" w:tplc="3306C5BA">
      <w:numFmt w:val="bullet"/>
      <w:lvlText w:val="•"/>
      <w:lvlJc w:val="left"/>
      <w:pPr>
        <w:ind w:left="4118" w:hanging="178"/>
      </w:pPr>
      <w:rPr>
        <w:rFonts w:hint="default"/>
        <w:lang w:val="en-GB" w:eastAsia="en-GB" w:bidi="en-GB"/>
      </w:rPr>
    </w:lvl>
    <w:lvl w:ilvl="7" w:tplc="FA2055EC">
      <w:numFmt w:val="bullet"/>
      <w:lvlText w:val="•"/>
      <w:lvlJc w:val="left"/>
      <w:pPr>
        <w:ind w:left="4721" w:hanging="178"/>
      </w:pPr>
      <w:rPr>
        <w:rFonts w:hint="default"/>
        <w:lang w:val="en-GB" w:eastAsia="en-GB" w:bidi="en-GB"/>
      </w:rPr>
    </w:lvl>
    <w:lvl w:ilvl="8" w:tplc="A30478AC">
      <w:numFmt w:val="bullet"/>
      <w:lvlText w:val="•"/>
      <w:lvlJc w:val="left"/>
      <w:pPr>
        <w:ind w:left="5324" w:hanging="178"/>
      </w:pPr>
      <w:rPr>
        <w:rFonts w:hint="default"/>
        <w:lang w:val="en-GB" w:eastAsia="en-GB" w:bidi="en-GB"/>
      </w:rPr>
    </w:lvl>
  </w:abstractNum>
  <w:abstractNum w:abstractNumId="5" w15:restartNumberingAfterBreak="0">
    <w:nsid w:val="4911475B"/>
    <w:multiLevelType w:val="hybridMultilevel"/>
    <w:tmpl w:val="76C845DC"/>
    <w:lvl w:ilvl="0" w:tplc="7DAA67CA">
      <w:start w:val="1"/>
      <w:numFmt w:val="lowerLetter"/>
      <w:lvlText w:val="%1."/>
      <w:lvlJc w:val="left"/>
      <w:pPr>
        <w:ind w:left="492" w:hanging="178"/>
        <w:jc w:val="left"/>
      </w:pPr>
      <w:rPr>
        <w:rFonts w:ascii="Arial" w:eastAsia="Arial" w:hAnsi="Arial" w:cs="Arial" w:hint="default"/>
        <w:spacing w:val="-1"/>
        <w:w w:val="80"/>
        <w:sz w:val="18"/>
        <w:szCs w:val="18"/>
        <w:lang w:val="en-GB" w:eastAsia="en-GB" w:bidi="en-GB"/>
      </w:rPr>
    </w:lvl>
    <w:lvl w:ilvl="1" w:tplc="378EC04A">
      <w:numFmt w:val="bullet"/>
      <w:lvlText w:val="•"/>
      <w:lvlJc w:val="left"/>
      <w:pPr>
        <w:ind w:left="1103" w:hanging="178"/>
      </w:pPr>
      <w:rPr>
        <w:rFonts w:hint="default"/>
        <w:lang w:val="en-GB" w:eastAsia="en-GB" w:bidi="en-GB"/>
      </w:rPr>
    </w:lvl>
    <w:lvl w:ilvl="2" w:tplc="7472C8C2">
      <w:numFmt w:val="bullet"/>
      <w:lvlText w:val="•"/>
      <w:lvlJc w:val="left"/>
      <w:pPr>
        <w:ind w:left="1706" w:hanging="178"/>
      </w:pPr>
      <w:rPr>
        <w:rFonts w:hint="default"/>
        <w:lang w:val="en-GB" w:eastAsia="en-GB" w:bidi="en-GB"/>
      </w:rPr>
    </w:lvl>
    <w:lvl w:ilvl="3" w:tplc="3D3CBA66">
      <w:numFmt w:val="bullet"/>
      <w:lvlText w:val="•"/>
      <w:lvlJc w:val="left"/>
      <w:pPr>
        <w:ind w:left="2309" w:hanging="178"/>
      </w:pPr>
      <w:rPr>
        <w:rFonts w:hint="default"/>
        <w:lang w:val="en-GB" w:eastAsia="en-GB" w:bidi="en-GB"/>
      </w:rPr>
    </w:lvl>
    <w:lvl w:ilvl="4" w:tplc="878EF134">
      <w:numFmt w:val="bullet"/>
      <w:lvlText w:val="•"/>
      <w:lvlJc w:val="left"/>
      <w:pPr>
        <w:ind w:left="2912" w:hanging="178"/>
      </w:pPr>
      <w:rPr>
        <w:rFonts w:hint="default"/>
        <w:lang w:val="en-GB" w:eastAsia="en-GB" w:bidi="en-GB"/>
      </w:rPr>
    </w:lvl>
    <w:lvl w:ilvl="5" w:tplc="DEBEB94E">
      <w:numFmt w:val="bullet"/>
      <w:lvlText w:val="•"/>
      <w:lvlJc w:val="left"/>
      <w:pPr>
        <w:ind w:left="3515" w:hanging="178"/>
      </w:pPr>
      <w:rPr>
        <w:rFonts w:hint="default"/>
        <w:lang w:val="en-GB" w:eastAsia="en-GB" w:bidi="en-GB"/>
      </w:rPr>
    </w:lvl>
    <w:lvl w:ilvl="6" w:tplc="8C5AE5DE">
      <w:numFmt w:val="bullet"/>
      <w:lvlText w:val="•"/>
      <w:lvlJc w:val="left"/>
      <w:pPr>
        <w:ind w:left="4118" w:hanging="178"/>
      </w:pPr>
      <w:rPr>
        <w:rFonts w:hint="default"/>
        <w:lang w:val="en-GB" w:eastAsia="en-GB" w:bidi="en-GB"/>
      </w:rPr>
    </w:lvl>
    <w:lvl w:ilvl="7" w:tplc="3932A990">
      <w:numFmt w:val="bullet"/>
      <w:lvlText w:val="•"/>
      <w:lvlJc w:val="left"/>
      <w:pPr>
        <w:ind w:left="4721" w:hanging="178"/>
      </w:pPr>
      <w:rPr>
        <w:rFonts w:hint="default"/>
        <w:lang w:val="en-GB" w:eastAsia="en-GB" w:bidi="en-GB"/>
      </w:rPr>
    </w:lvl>
    <w:lvl w:ilvl="8" w:tplc="6A9AF94C">
      <w:numFmt w:val="bullet"/>
      <w:lvlText w:val="•"/>
      <w:lvlJc w:val="left"/>
      <w:pPr>
        <w:ind w:left="5324" w:hanging="178"/>
      </w:pPr>
      <w:rPr>
        <w:rFonts w:hint="default"/>
        <w:lang w:val="en-GB" w:eastAsia="en-GB" w:bidi="en-GB"/>
      </w:rPr>
    </w:lvl>
  </w:abstractNum>
  <w:abstractNum w:abstractNumId="6" w15:restartNumberingAfterBreak="0">
    <w:nsid w:val="49557F97"/>
    <w:multiLevelType w:val="hybridMultilevel"/>
    <w:tmpl w:val="40DCB3B6"/>
    <w:lvl w:ilvl="0" w:tplc="C2884FAC">
      <w:start w:val="1"/>
      <w:numFmt w:val="lowerLetter"/>
      <w:lvlText w:val="%1."/>
      <w:lvlJc w:val="left"/>
      <w:pPr>
        <w:ind w:left="2746" w:hanging="178"/>
        <w:jc w:val="left"/>
      </w:pPr>
      <w:rPr>
        <w:rFonts w:ascii="Arial" w:eastAsia="Arial" w:hAnsi="Arial" w:cs="Arial" w:hint="default"/>
        <w:spacing w:val="-1"/>
        <w:w w:val="80"/>
        <w:sz w:val="18"/>
        <w:szCs w:val="18"/>
        <w:lang w:val="en-GB" w:eastAsia="en-GB" w:bidi="en-GB"/>
      </w:rPr>
    </w:lvl>
    <w:lvl w:ilvl="1" w:tplc="F294C974">
      <w:numFmt w:val="bullet"/>
      <w:lvlText w:val="•"/>
      <w:lvlJc w:val="left"/>
      <w:pPr>
        <w:ind w:left="3344" w:hanging="178"/>
      </w:pPr>
      <w:rPr>
        <w:rFonts w:hint="default"/>
        <w:lang w:val="en-GB" w:eastAsia="en-GB" w:bidi="en-GB"/>
      </w:rPr>
    </w:lvl>
    <w:lvl w:ilvl="2" w:tplc="00CE566A">
      <w:numFmt w:val="bullet"/>
      <w:lvlText w:val="•"/>
      <w:lvlJc w:val="left"/>
      <w:pPr>
        <w:ind w:left="3948" w:hanging="178"/>
      </w:pPr>
      <w:rPr>
        <w:rFonts w:hint="default"/>
        <w:lang w:val="en-GB" w:eastAsia="en-GB" w:bidi="en-GB"/>
      </w:rPr>
    </w:lvl>
    <w:lvl w:ilvl="3" w:tplc="813A212E">
      <w:numFmt w:val="bullet"/>
      <w:lvlText w:val="•"/>
      <w:lvlJc w:val="left"/>
      <w:pPr>
        <w:ind w:left="4552" w:hanging="178"/>
      </w:pPr>
      <w:rPr>
        <w:rFonts w:hint="default"/>
        <w:lang w:val="en-GB" w:eastAsia="en-GB" w:bidi="en-GB"/>
      </w:rPr>
    </w:lvl>
    <w:lvl w:ilvl="4" w:tplc="3FE2262A">
      <w:numFmt w:val="bullet"/>
      <w:lvlText w:val="•"/>
      <w:lvlJc w:val="left"/>
      <w:pPr>
        <w:ind w:left="5157" w:hanging="178"/>
      </w:pPr>
      <w:rPr>
        <w:rFonts w:hint="default"/>
        <w:lang w:val="en-GB" w:eastAsia="en-GB" w:bidi="en-GB"/>
      </w:rPr>
    </w:lvl>
    <w:lvl w:ilvl="5" w:tplc="966E6452">
      <w:numFmt w:val="bullet"/>
      <w:lvlText w:val="•"/>
      <w:lvlJc w:val="left"/>
      <w:pPr>
        <w:ind w:left="5761" w:hanging="178"/>
      </w:pPr>
      <w:rPr>
        <w:rFonts w:hint="default"/>
        <w:lang w:val="en-GB" w:eastAsia="en-GB" w:bidi="en-GB"/>
      </w:rPr>
    </w:lvl>
    <w:lvl w:ilvl="6" w:tplc="11DEC746">
      <w:numFmt w:val="bullet"/>
      <w:lvlText w:val="•"/>
      <w:lvlJc w:val="left"/>
      <w:pPr>
        <w:ind w:left="6365" w:hanging="178"/>
      </w:pPr>
      <w:rPr>
        <w:rFonts w:hint="default"/>
        <w:lang w:val="en-GB" w:eastAsia="en-GB" w:bidi="en-GB"/>
      </w:rPr>
    </w:lvl>
    <w:lvl w:ilvl="7" w:tplc="519ADBB6">
      <w:numFmt w:val="bullet"/>
      <w:lvlText w:val="•"/>
      <w:lvlJc w:val="left"/>
      <w:pPr>
        <w:ind w:left="6970" w:hanging="178"/>
      </w:pPr>
      <w:rPr>
        <w:rFonts w:hint="default"/>
        <w:lang w:val="en-GB" w:eastAsia="en-GB" w:bidi="en-GB"/>
      </w:rPr>
    </w:lvl>
    <w:lvl w:ilvl="8" w:tplc="80941D8A">
      <w:numFmt w:val="bullet"/>
      <w:lvlText w:val="•"/>
      <w:lvlJc w:val="left"/>
      <w:pPr>
        <w:ind w:left="7574" w:hanging="178"/>
      </w:pPr>
      <w:rPr>
        <w:rFonts w:hint="default"/>
        <w:lang w:val="en-GB" w:eastAsia="en-GB" w:bidi="en-GB"/>
      </w:rPr>
    </w:lvl>
  </w:abstractNum>
  <w:abstractNum w:abstractNumId="7" w15:restartNumberingAfterBreak="0">
    <w:nsid w:val="57B574BF"/>
    <w:multiLevelType w:val="hybridMultilevel"/>
    <w:tmpl w:val="1C8C6E5A"/>
    <w:lvl w:ilvl="0" w:tplc="039254E6">
      <w:start w:val="1"/>
      <w:numFmt w:val="lowerLetter"/>
      <w:lvlText w:val="%1."/>
      <w:lvlJc w:val="left"/>
      <w:pPr>
        <w:ind w:left="2746" w:hanging="178"/>
        <w:jc w:val="left"/>
      </w:pPr>
      <w:rPr>
        <w:rFonts w:ascii="Arial" w:eastAsia="Arial" w:hAnsi="Arial" w:cs="Arial" w:hint="default"/>
        <w:spacing w:val="-1"/>
        <w:w w:val="80"/>
        <w:sz w:val="18"/>
        <w:szCs w:val="18"/>
        <w:lang w:val="en-GB" w:eastAsia="en-GB" w:bidi="en-GB"/>
      </w:rPr>
    </w:lvl>
    <w:lvl w:ilvl="1" w:tplc="8064F9AE">
      <w:numFmt w:val="bullet"/>
      <w:lvlText w:val="•"/>
      <w:lvlJc w:val="left"/>
      <w:pPr>
        <w:ind w:left="3344" w:hanging="178"/>
      </w:pPr>
      <w:rPr>
        <w:rFonts w:hint="default"/>
        <w:lang w:val="en-GB" w:eastAsia="en-GB" w:bidi="en-GB"/>
      </w:rPr>
    </w:lvl>
    <w:lvl w:ilvl="2" w:tplc="4F9EB48E">
      <w:numFmt w:val="bullet"/>
      <w:lvlText w:val="•"/>
      <w:lvlJc w:val="left"/>
      <w:pPr>
        <w:ind w:left="3948" w:hanging="178"/>
      </w:pPr>
      <w:rPr>
        <w:rFonts w:hint="default"/>
        <w:lang w:val="en-GB" w:eastAsia="en-GB" w:bidi="en-GB"/>
      </w:rPr>
    </w:lvl>
    <w:lvl w:ilvl="3" w:tplc="4D1817D0">
      <w:numFmt w:val="bullet"/>
      <w:lvlText w:val="•"/>
      <w:lvlJc w:val="left"/>
      <w:pPr>
        <w:ind w:left="4552" w:hanging="178"/>
      </w:pPr>
      <w:rPr>
        <w:rFonts w:hint="default"/>
        <w:lang w:val="en-GB" w:eastAsia="en-GB" w:bidi="en-GB"/>
      </w:rPr>
    </w:lvl>
    <w:lvl w:ilvl="4" w:tplc="CC5ECB7A">
      <w:numFmt w:val="bullet"/>
      <w:lvlText w:val="•"/>
      <w:lvlJc w:val="left"/>
      <w:pPr>
        <w:ind w:left="5157" w:hanging="178"/>
      </w:pPr>
      <w:rPr>
        <w:rFonts w:hint="default"/>
        <w:lang w:val="en-GB" w:eastAsia="en-GB" w:bidi="en-GB"/>
      </w:rPr>
    </w:lvl>
    <w:lvl w:ilvl="5" w:tplc="9DB47832">
      <w:numFmt w:val="bullet"/>
      <w:lvlText w:val="•"/>
      <w:lvlJc w:val="left"/>
      <w:pPr>
        <w:ind w:left="5761" w:hanging="178"/>
      </w:pPr>
      <w:rPr>
        <w:rFonts w:hint="default"/>
        <w:lang w:val="en-GB" w:eastAsia="en-GB" w:bidi="en-GB"/>
      </w:rPr>
    </w:lvl>
    <w:lvl w:ilvl="6" w:tplc="906C1A20">
      <w:numFmt w:val="bullet"/>
      <w:lvlText w:val="•"/>
      <w:lvlJc w:val="left"/>
      <w:pPr>
        <w:ind w:left="6365" w:hanging="178"/>
      </w:pPr>
      <w:rPr>
        <w:rFonts w:hint="default"/>
        <w:lang w:val="en-GB" w:eastAsia="en-GB" w:bidi="en-GB"/>
      </w:rPr>
    </w:lvl>
    <w:lvl w:ilvl="7" w:tplc="917228C0">
      <w:numFmt w:val="bullet"/>
      <w:lvlText w:val="•"/>
      <w:lvlJc w:val="left"/>
      <w:pPr>
        <w:ind w:left="6970" w:hanging="178"/>
      </w:pPr>
      <w:rPr>
        <w:rFonts w:hint="default"/>
        <w:lang w:val="en-GB" w:eastAsia="en-GB" w:bidi="en-GB"/>
      </w:rPr>
    </w:lvl>
    <w:lvl w:ilvl="8" w:tplc="947617C0">
      <w:numFmt w:val="bullet"/>
      <w:lvlText w:val="•"/>
      <w:lvlJc w:val="left"/>
      <w:pPr>
        <w:ind w:left="7574" w:hanging="178"/>
      </w:pPr>
      <w:rPr>
        <w:rFonts w:hint="default"/>
        <w:lang w:val="en-GB" w:eastAsia="en-GB" w:bidi="en-GB"/>
      </w:rPr>
    </w:lvl>
  </w:abstractNum>
  <w:abstractNum w:abstractNumId="8" w15:restartNumberingAfterBreak="0">
    <w:nsid w:val="646B30FF"/>
    <w:multiLevelType w:val="hybridMultilevel"/>
    <w:tmpl w:val="E644545C"/>
    <w:lvl w:ilvl="0" w:tplc="E85CD33E">
      <w:start w:val="1"/>
      <w:numFmt w:val="lowerLetter"/>
      <w:lvlText w:val="%1."/>
      <w:lvlJc w:val="left"/>
      <w:pPr>
        <w:ind w:left="492" w:hanging="178"/>
        <w:jc w:val="left"/>
      </w:pPr>
      <w:rPr>
        <w:rFonts w:ascii="Arial" w:eastAsia="Arial" w:hAnsi="Arial" w:cs="Arial" w:hint="default"/>
        <w:spacing w:val="-1"/>
        <w:w w:val="80"/>
        <w:sz w:val="18"/>
        <w:szCs w:val="18"/>
        <w:lang w:val="en-GB" w:eastAsia="en-GB" w:bidi="en-GB"/>
      </w:rPr>
    </w:lvl>
    <w:lvl w:ilvl="1" w:tplc="780A85AC">
      <w:numFmt w:val="bullet"/>
      <w:lvlText w:val="•"/>
      <w:lvlJc w:val="left"/>
      <w:pPr>
        <w:ind w:left="1103" w:hanging="178"/>
      </w:pPr>
      <w:rPr>
        <w:rFonts w:hint="default"/>
        <w:lang w:val="en-GB" w:eastAsia="en-GB" w:bidi="en-GB"/>
      </w:rPr>
    </w:lvl>
    <w:lvl w:ilvl="2" w:tplc="A876652E">
      <w:numFmt w:val="bullet"/>
      <w:lvlText w:val="•"/>
      <w:lvlJc w:val="left"/>
      <w:pPr>
        <w:ind w:left="1706" w:hanging="178"/>
      </w:pPr>
      <w:rPr>
        <w:rFonts w:hint="default"/>
        <w:lang w:val="en-GB" w:eastAsia="en-GB" w:bidi="en-GB"/>
      </w:rPr>
    </w:lvl>
    <w:lvl w:ilvl="3" w:tplc="35C4E6C0">
      <w:numFmt w:val="bullet"/>
      <w:lvlText w:val="•"/>
      <w:lvlJc w:val="left"/>
      <w:pPr>
        <w:ind w:left="2309" w:hanging="178"/>
      </w:pPr>
      <w:rPr>
        <w:rFonts w:hint="default"/>
        <w:lang w:val="en-GB" w:eastAsia="en-GB" w:bidi="en-GB"/>
      </w:rPr>
    </w:lvl>
    <w:lvl w:ilvl="4" w:tplc="ED243D0C">
      <w:numFmt w:val="bullet"/>
      <w:lvlText w:val="•"/>
      <w:lvlJc w:val="left"/>
      <w:pPr>
        <w:ind w:left="2912" w:hanging="178"/>
      </w:pPr>
      <w:rPr>
        <w:rFonts w:hint="default"/>
        <w:lang w:val="en-GB" w:eastAsia="en-GB" w:bidi="en-GB"/>
      </w:rPr>
    </w:lvl>
    <w:lvl w:ilvl="5" w:tplc="5A3C3A34">
      <w:numFmt w:val="bullet"/>
      <w:lvlText w:val="•"/>
      <w:lvlJc w:val="left"/>
      <w:pPr>
        <w:ind w:left="3515" w:hanging="178"/>
      </w:pPr>
      <w:rPr>
        <w:rFonts w:hint="default"/>
        <w:lang w:val="en-GB" w:eastAsia="en-GB" w:bidi="en-GB"/>
      </w:rPr>
    </w:lvl>
    <w:lvl w:ilvl="6" w:tplc="5A84094E">
      <w:numFmt w:val="bullet"/>
      <w:lvlText w:val="•"/>
      <w:lvlJc w:val="left"/>
      <w:pPr>
        <w:ind w:left="4118" w:hanging="178"/>
      </w:pPr>
      <w:rPr>
        <w:rFonts w:hint="default"/>
        <w:lang w:val="en-GB" w:eastAsia="en-GB" w:bidi="en-GB"/>
      </w:rPr>
    </w:lvl>
    <w:lvl w:ilvl="7" w:tplc="5AD88BAE">
      <w:numFmt w:val="bullet"/>
      <w:lvlText w:val="•"/>
      <w:lvlJc w:val="left"/>
      <w:pPr>
        <w:ind w:left="4721" w:hanging="178"/>
      </w:pPr>
      <w:rPr>
        <w:rFonts w:hint="default"/>
        <w:lang w:val="en-GB" w:eastAsia="en-GB" w:bidi="en-GB"/>
      </w:rPr>
    </w:lvl>
    <w:lvl w:ilvl="8" w:tplc="129EA042">
      <w:numFmt w:val="bullet"/>
      <w:lvlText w:val="•"/>
      <w:lvlJc w:val="left"/>
      <w:pPr>
        <w:ind w:left="5324" w:hanging="178"/>
      </w:pPr>
      <w:rPr>
        <w:rFonts w:hint="default"/>
        <w:lang w:val="en-GB" w:eastAsia="en-GB" w:bidi="en-GB"/>
      </w:rPr>
    </w:lvl>
  </w:abstractNum>
  <w:abstractNum w:abstractNumId="9" w15:restartNumberingAfterBreak="0">
    <w:nsid w:val="77D61109"/>
    <w:multiLevelType w:val="hybridMultilevel"/>
    <w:tmpl w:val="72CEE62C"/>
    <w:lvl w:ilvl="0" w:tplc="D1681C58">
      <w:start w:val="1"/>
      <w:numFmt w:val="lowerLetter"/>
      <w:lvlText w:val="%1."/>
      <w:lvlJc w:val="left"/>
      <w:pPr>
        <w:ind w:left="492" w:hanging="228"/>
        <w:jc w:val="left"/>
      </w:pPr>
      <w:rPr>
        <w:rFonts w:ascii="Arial" w:eastAsia="Arial" w:hAnsi="Arial" w:cs="Arial" w:hint="default"/>
        <w:spacing w:val="-1"/>
        <w:w w:val="91"/>
        <w:sz w:val="18"/>
        <w:szCs w:val="18"/>
        <w:lang w:val="en-GB" w:eastAsia="en-GB" w:bidi="en-GB"/>
      </w:rPr>
    </w:lvl>
    <w:lvl w:ilvl="1" w:tplc="D3949090">
      <w:numFmt w:val="bullet"/>
      <w:lvlText w:val="•"/>
      <w:lvlJc w:val="left"/>
      <w:pPr>
        <w:ind w:left="1103" w:hanging="228"/>
      </w:pPr>
      <w:rPr>
        <w:rFonts w:hint="default"/>
        <w:lang w:val="en-GB" w:eastAsia="en-GB" w:bidi="en-GB"/>
      </w:rPr>
    </w:lvl>
    <w:lvl w:ilvl="2" w:tplc="67DCDF0A">
      <w:numFmt w:val="bullet"/>
      <w:lvlText w:val="•"/>
      <w:lvlJc w:val="left"/>
      <w:pPr>
        <w:ind w:left="1706" w:hanging="228"/>
      </w:pPr>
      <w:rPr>
        <w:rFonts w:hint="default"/>
        <w:lang w:val="en-GB" w:eastAsia="en-GB" w:bidi="en-GB"/>
      </w:rPr>
    </w:lvl>
    <w:lvl w:ilvl="3" w:tplc="484862D6">
      <w:numFmt w:val="bullet"/>
      <w:lvlText w:val="•"/>
      <w:lvlJc w:val="left"/>
      <w:pPr>
        <w:ind w:left="2309" w:hanging="228"/>
      </w:pPr>
      <w:rPr>
        <w:rFonts w:hint="default"/>
        <w:lang w:val="en-GB" w:eastAsia="en-GB" w:bidi="en-GB"/>
      </w:rPr>
    </w:lvl>
    <w:lvl w:ilvl="4" w:tplc="405EB094">
      <w:numFmt w:val="bullet"/>
      <w:lvlText w:val="•"/>
      <w:lvlJc w:val="left"/>
      <w:pPr>
        <w:ind w:left="2912" w:hanging="228"/>
      </w:pPr>
      <w:rPr>
        <w:rFonts w:hint="default"/>
        <w:lang w:val="en-GB" w:eastAsia="en-GB" w:bidi="en-GB"/>
      </w:rPr>
    </w:lvl>
    <w:lvl w:ilvl="5" w:tplc="A880BF82">
      <w:numFmt w:val="bullet"/>
      <w:lvlText w:val="•"/>
      <w:lvlJc w:val="left"/>
      <w:pPr>
        <w:ind w:left="3515" w:hanging="228"/>
      </w:pPr>
      <w:rPr>
        <w:rFonts w:hint="default"/>
        <w:lang w:val="en-GB" w:eastAsia="en-GB" w:bidi="en-GB"/>
      </w:rPr>
    </w:lvl>
    <w:lvl w:ilvl="6" w:tplc="5A90B786">
      <w:numFmt w:val="bullet"/>
      <w:lvlText w:val="•"/>
      <w:lvlJc w:val="left"/>
      <w:pPr>
        <w:ind w:left="4118" w:hanging="228"/>
      </w:pPr>
      <w:rPr>
        <w:rFonts w:hint="default"/>
        <w:lang w:val="en-GB" w:eastAsia="en-GB" w:bidi="en-GB"/>
      </w:rPr>
    </w:lvl>
    <w:lvl w:ilvl="7" w:tplc="22A0A86C">
      <w:numFmt w:val="bullet"/>
      <w:lvlText w:val="•"/>
      <w:lvlJc w:val="left"/>
      <w:pPr>
        <w:ind w:left="4721" w:hanging="228"/>
      </w:pPr>
      <w:rPr>
        <w:rFonts w:hint="default"/>
        <w:lang w:val="en-GB" w:eastAsia="en-GB" w:bidi="en-GB"/>
      </w:rPr>
    </w:lvl>
    <w:lvl w:ilvl="8" w:tplc="E68E782A">
      <w:numFmt w:val="bullet"/>
      <w:lvlText w:val="•"/>
      <w:lvlJc w:val="left"/>
      <w:pPr>
        <w:ind w:left="5324" w:hanging="228"/>
      </w:pPr>
      <w:rPr>
        <w:rFonts w:hint="default"/>
        <w:lang w:val="en-GB" w:eastAsia="en-GB" w:bidi="en-GB"/>
      </w:rPr>
    </w:lvl>
  </w:abstractNum>
  <w:num w:numId="1">
    <w:abstractNumId w:val="0"/>
  </w:num>
  <w:num w:numId="2">
    <w:abstractNumId w:val="5"/>
  </w:num>
  <w:num w:numId="3">
    <w:abstractNumId w:val="4"/>
  </w:num>
  <w:num w:numId="4">
    <w:abstractNumId w:val="9"/>
  </w:num>
  <w:num w:numId="5">
    <w:abstractNumId w:val="1"/>
  </w:num>
  <w:num w:numId="6">
    <w:abstractNumId w:val="3"/>
  </w:num>
  <w:num w:numId="7">
    <w:abstractNumId w:val="2"/>
  </w:num>
  <w:num w:numId="8">
    <w:abstractNumId w:val="8"/>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8061C6"/>
    <w:rsid w:val="00156D51"/>
    <w:rsid w:val="00767091"/>
    <w:rsid w:val="008061C6"/>
    <w:rsid w:val="008E7B5F"/>
    <w:rsid w:val="00B41147"/>
    <w:rsid w:val="00B84927"/>
    <w:rsid w:val="00C07D67"/>
    <w:rsid w:val="00C16355"/>
    <w:rsid w:val="00F835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15:docId w15:val="{B77B6983-854E-4E65-A683-D422571BA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GB"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pPr>
      <w:ind w:left="1732" w:right="207" w:hanging="22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1C4AB-0A40-413B-9710-9C581C94A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Pages>
  <Words>2401</Words>
  <Characters>13691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Moorche 30 DVDs</Company>
  <LinksUpToDate>false</LinksUpToDate>
  <CharactersWithSpaces>16060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MRT www.Win2Farsi.com</cp:lastModifiedBy>
  <cp:revision>7</cp:revision>
  <dcterms:created xsi:type="dcterms:W3CDTF">2019-07-11T04:57:00Z</dcterms:created>
  <dcterms:modified xsi:type="dcterms:W3CDTF">2019-07-11T05:43:00Z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2013-11-18T00:00:00Z</vt:filetime>
  </property>
  <property fmtid="{D5CDD505-2E9C-101B-9397-08002B2CF9AE}" pid="3" name="Creator">
    <vt:lpwstr>Microsoft® Word 2010</vt:lpwstr>
  </property>
  <property fmtid="{D5CDD505-2E9C-101B-9397-08002B2CF9AE}" pid="4" name="LastSaved">
    <vt:filetime>2019-07-11T00:00:00Z</vt:filetime>
  </property>
</Properties>
</file>